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8302A0" w:rsidRDefault="00EB1EF4" w:rsidP="008302A0">
      <w:pPr>
        <w:pStyle w:val="datumtevilka"/>
        <w:spacing w:line="276" w:lineRule="auto"/>
        <w:jc w:val="both"/>
      </w:pPr>
      <w:bookmarkStart w:id="0" w:name="_GoBack"/>
      <w:bookmarkEnd w:id="0"/>
      <w:r w:rsidRPr="008302A0">
        <w:t xml:space="preserve">Datum: </w:t>
      </w:r>
      <w:r w:rsidRPr="008302A0">
        <w:tab/>
      </w:r>
      <w:r w:rsidR="004D294C">
        <w:t>22. 3. 2022</w:t>
      </w:r>
      <w:r w:rsidRPr="008302A0">
        <w:t xml:space="preserve"> </w:t>
      </w:r>
    </w:p>
    <w:p w:rsidR="007D75CF" w:rsidRPr="008302A0" w:rsidRDefault="007D75CF" w:rsidP="008302A0">
      <w:pPr>
        <w:spacing w:line="276" w:lineRule="auto"/>
        <w:jc w:val="both"/>
        <w:rPr>
          <w:lang w:val="sl-SI"/>
        </w:rPr>
      </w:pPr>
    </w:p>
    <w:p w:rsidR="007D75CF" w:rsidRPr="008302A0" w:rsidRDefault="00EB1EF4" w:rsidP="008302A0">
      <w:pPr>
        <w:pStyle w:val="ZADEVA"/>
        <w:spacing w:line="276" w:lineRule="auto"/>
        <w:jc w:val="both"/>
        <w:rPr>
          <w:lang w:val="sl-SI"/>
        </w:rPr>
      </w:pPr>
      <w:r w:rsidRPr="008302A0">
        <w:rPr>
          <w:lang w:val="sl-SI"/>
        </w:rPr>
        <w:t xml:space="preserve">Zadeva: </w:t>
      </w:r>
      <w:r w:rsidRPr="008302A0">
        <w:rPr>
          <w:lang w:val="sl-SI"/>
        </w:rPr>
        <w:tab/>
      </w:r>
      <w:r w:rsidR="004D294C" w:rsidRPr="004D294C">
        <w:rPr>
          <w:lang w:val="sl-SI"/>
        </w:rPr>
        <w:t>Spremembe na REK obrazcih na podlagi novele Zakona o dohodnini - ZDoh-2Z</w:t>
      </w:r>
    </w:p>
    <w:p w:rsidR="007D75CF" w:rsidRDefault="007D75CF" w:rsidP="008302A0">
      <w:pPr>
        <w:spacing w:line="276" w:lineRule="auto"/>
        <w:jc w:val="both"/>
        <w:rPr>
          <w:lang w:val="sl-SI"/>
        </w:rPr>
      </w:pPr>
    </w:p>
    <w:p w:rsidR="004D294C" w:rsidRPr="004D294C" w:rsidRDefault="004D294C" w:rsidP="004D294C">
      <w:pPr>
        <w:rPr>
          <w:rFonts w:cs="Arial"/>
          <w:b/>
          <w:bCs/>
          <w:sz w:val="24"/>
          <w:lang w:val="sl-SI"/>
        </w:rPr>
      </w:pPr>
      <w:r w:rsidRPr="004D294C">
        <w:rPr>
          <w:rFonts w:cs="Arial"/>
          <w:szCs w:val="20"/>
          <w:lang w:val="sl-SI"/>
        </w:rPr>
        <w:t>V nadaljevanju so opisane spremembe na obračunih davčnega odtegljaja (REK obrazci) na podlagi novele</w:t>
      </w:r>
      <w:r w:rsidRPr="004D294C">
        <w:rPr>
          <w:rFonts w:cs="Arial"/>
          <w:b/>
          <w:bCs/>
          <w:szCs w:val="20"/>
          <w:lang w:val="sl-SI"/>
        </w:rPr>
        <w:t xml:space="preserve"> </w:t>
      </w:r>
      <w:hyperlink r:id="rId8" w:history="1">
        <w:r w:rsidRPr="004D294C">
          <w:rPr>
            <w:rStyle w:val="Hiperpovezava"/>
            <w:rFonts w:eastAsia="Calibri" w:cs="Arial"/>
            <w:color w:val="0563C1"/>
            <w:szCs w:val="20"/>
            <w:lang w:val="sl-SI"/>
          </w:rPr>
          <w:t>ZDoh-2Z</w:t>
        </w:r>
      </w:hyperlink>
      <w:r>
        <w:rPr>
          <w:szCs w:val="20"/>
          <w:lang w:val="sl-SI"/>
        </w:rPr>
        <w:t>.</w:t>
      </w:r>
    </w:p>
    <w:p w:rsidR="004D294C" w:rsidRPr="004D294C" w:rsidRDefault="004D294C" w:rsidP="004D294C">
      <w:pPr>
        <w:rPr>
          <w:rFonts w:cs="Arial"/>
          <w:szCs w:val="20"/>
          <w:lang w:val="sl-SI"/>
        </w:rPr>
      </w:pPr>
    </w:p>
    <w:p w:rsidR="004D294C" w:rsidRPr="004D294C" w:rsidRDefault="004D294C" w:rsidP="004D294C">
      <w:pPr>
        <w:pStyle w:val="Naslov2"/>
        <w:numPr>
          <w:ilvl w:val="0"/>
          <w:numId w:val="9"/>
        </w:numPr>
        <w:rPr>
          <w:rFonts w:ascii="Arial" w:eastAsiaTheme="minorHAnsi" w:hAnsi="Arial" w:cs="Arial"/>
          <w:b/>
          <w:bCs/>
          <w:color w:val="auto"/>
          <w:sz w:val="24"/>
          <w:szCs w:val="24"/>
        </w:rPr>
      </w:pPr>
      <w:r w:rsidRPr="004D294C">
        <w:rPr>
          <w:rFonts w:ascii="Arial" w:eastAsiaTheme="minorHAnsi" w:hAnsi="Arial" w:cs="Arial"/>
          <w:b/>
          <w:bCs/>
          <w:color w:val="auto"/>
          <w:sz w:val="24"/>
          <w:szCs w:val="24"/>
        </w:rPr>
        <w:t>Izračun akontacije dohodnine od pokojnin</w:t>
      </w:r>
    </w:p>
    <w:p w:rsidR="004D294C" w:rsidRPr="004D294C" w:rsidRDefault="004D294C" w:rsidP="004D294C">
      <w:pPr>
        <w:rPr>
          <w:rFonts w:eastAsiaTheme="minorHAnsi" w:cs="Arial"/>
          <w:szCs w:val="20"/>
          <w:lang w:val="sl-SI"/>
        </w:rPr>
      </w:pPr>
      <w:r w:rsidRPr="004D294C">
        <w:rPr>
          <w:rFonts w:cs="Arial"/>
          <w:szCs w:val="20"/>
          <w:lang w:val="sl-SI"/>
        </w:rPr>
        <w:t>Nov šestnajsti odstavek 127. člena ZDoh-2 na novo določa izračun akontacije dohodnine od izplačane pokojnine (pokojnina iz obveznega pokojninskega zavarovanja in poklicna pokojnina). Če se izplačevalec ne šteje za glavnega delodajalca se prejemnik dohodka (rezident) lahko odloči, da se mu akontacija ne izračuna po stopnji 25 % ampak po zvišani ali znižani stopnji, ali pa se ne izračuna, če oceni, da akontacija dohodnine ni ustrezna glede na pričakovano dohodnino na letni ravni. O tej odločitvi mora prejemnik dohodka obvestiti izplačevalca in davčni organ.</w:t>
      </w:r>
    </w:p>
    <w:p w:rsidR="004D294C" w:rsidRPr="004D294C" w:rsidRDefault="004D294C" w:rsidP="004D294C">
      <w:pPr>
        <w:rPr>
          <w:rFonts w:cs="Arial"/>
          <w:szCs w:val="20"/>
          <w:lang w:val="sl-SI"/>
        </w:rPr>
      </w:pPr>
    </w:p>
    <w:p w:rsidR="004D294C" w:rsidRPr="004D294C" w:rsidRDefault="004D294C" w:rsidP="004D294C">
      <w:pPr>
        <w:rPr>
          <w:rFonts w:cs="Arial"/>
          <w:szCs w:val="20"/>
          <w:lang w:val="sl-SI"/>
        </w:rPr>
      </w:pPr>
      <w:r w:rsidRPr="004D294C">
        <w:rPr>
          <w:rFonts w:cs="Arial"/>
          <w:szCs w:val="20"/>
          <w:lang w:val="sl-SI"/>
        </w:rPr>
        <w:t xml:space="preserve">Sprememba se nanaša na </w:t>
      </w:r>
      <w:r w:rsidRPr="004D294C">
        <w:rPr>
          <w:rFonts w:cs="Arial"/>
          <w:b/>
          <w:bCs/>
          <w:szCs w:val="20"/>
          <w:lang w:val="sl-SI"/>
        </w:rPr>
        <w:t>REK-1b obrazce, vrsta dohodka 1067, 1068 in 1085</w:t>
      </w:r>
      <w:r w:rsidRPr="004D294C">
        <w:rPr>
          <w:rFonts w:cs="Arial"/>
          <w:szCs w:val="20"/>
          <w:lang w:val="sl-SI"/>
        </w:rPr>
        <w:t>:</w:t>
      </w:r>
    </w:p>
    <w:p w:rsidR="004D294C" w:rsidRPr="004D294C" w:rsidRDefault="004D294C" w:rsidP="004D294C">
      <w:pPr>
        <w:pStyle w:val="Odstavekseznama"/>
        <w:numPr>
          <w:ilvl w:val="0"/>
          <w:numId w:val="10"/>
        </w:numPr>
        <w:jc w:val="both"/>
        <w:rPr>
          <w:rFonts w:cs="Arial"/>
          <w:szCs w:val="20"/>
          <w:lang w:val="sl-SI"/>
        </w:rPr>
      </w:pPr>
      <w:r w:rsidRPr="004D294C">
        <w:rPr>
          <w:rFonts w:cs="Arial"/>
          <w:szCs w:val="20"/>
          <w:lang w:val="sl-SI"/>
        </w:rPr>
        <w:t xml:space="preserve">na polju 302 se sprosti kontrola 25 %, </w:t>
      </w:r>
    </w:p>
    <w:p w:rsidR="004D294C" w:rsidRPr="004D294C" w:rsidRDefault="004D294C" w:rsidP="004D294C">
      <w:pPr>
        <w:pStyle w:val="Odstavekseznama"/>
        <w:numPr>
          <w:ilvl w:val="0"/>
          <w:numId w:val="10"/>
        </w:numPr>
        <w:jc w:val="both"/>
        <w:rPr>
          <w:rFonts w:cs="Arial"/>
          <w:szCs w:val="20"/>
          <w:lang w:val="sl-SI"/>
        </w:rPr>
      </w:pPr>
      <w:r w:rsidRPr="004D294C">
        <w:rPr>
          <w:rFonts w:cs="Arial"/>
          <w:szCs w:val="20"/>
          <w:lang w:val="sl-SI"/>
        </w:rPr>
        <w:t>polje D07 se preimenuje v »</w:t>
      </w:r>
      <w:r w:rsidRPr="004D294C">
        <w:rPr>
          <w:rFonts w:cs="Arial"/>
          <w:bCs/>
          <w:i/>
          <w:szCs w:val="20"/>
          <w:lang w:val="sl-SI"/>
        </w:rPr>
        <w:t>Davčni odtegljaj (drugi delodajalec)«,</w:t>
      </w:r>
      <w:r w:rsidRPr="004D294C">
        <w:rPr>
          <w:rFonts w:cs="Arial"/>
          <w:szCs w:val="20"/>
          <w:lang w:val="sl-SI"/>
        </w:rPr>
        <w:t xml:space="preserve"> </w:t>
      </w:r>
    </w:p>
    <w:p w:rsidR="004D294C" w:rsidRPr="004D294C" w:rsidRDefault="004D294C" w:rsidP="004D294C">
      <w:pPr>
        <w:pStyle w:val="Odstavekseznama"/>
        <w:numPr>
          <w:ilvl w:val="0"/>
          <w:numId w:val="10"/>
        </w:numPr>
        <w:jc w:val="both"/>
        <w:rPr>
          <w:rFonts w:cs="Arial"/>
          <w:szCs w:val="20"/>
          <w:lang w:val="sl-SI"/>
        </w:rPr>
      </w:pPr>
      <w:r w:rsidRPr="004D294C">
        <w:rPr>
          <w:rFonts w:cs="Arial"/>
          <w:szCs w:val="20"/>
          <w:lang w:val="sl-SI"/>
        </w:rPr>
        <w:t xml:space="preserve">v polju D07 se omogoči vnos stopnje med 0 % (če se prejemnik odloči, da se akontacije ne izračuna) in 45 %, </w:t>
      </w:r>
    </w:p>
    <w:p w:rsidR="004D294C" w:rsidRPr="004D294C" w:rsidRDefault="004D294C" w:rsidP="004D294C">
      <w:pPr>
        <w:pStyle w:val="Odstavekseznama"/>
        <w:numPr>
          <w:ilvl w:val="0"/>
          <w:numId w:val="10"/>
        </w:numPr>
        <w:jc w:val="both"/>
        <w:rPr>
          <w:rFonts w:cs="Arial"/>
          <w:szCs w:val="20"/>
          <w:lang w:val="sl-SI"/>
        </w:rPr>
      </w:pPr>
      <w:r w:rsidRPr="004D294C">
        <w:rPr>
          <w:rFonts w:cs="Arial"/>
          <w:szCs w:val="20"/>
          <w:lang w:val="sl-SI"/>
        </w:rPr>
        <w:t>v D07 se omogoči vnos zneska akontacije dohodnine.</w:t>
      </w:r>
    </w:p>
    <w:p w:rsidR="004D294C" w:rsidRPr="004D294C" w:rsidRDefault="004D294C" w:rsidP="004D294C">
      <w:pPr>
        <w:pStyle w:val="Odstavekseznama"/>
        <w:ind w:left="1440"/>
        <w:rPr>
          <w:rFonts w:cs="Arial"/>
          <w:szCs w:val="20"/>
          <w:lang w:val="sl-SI"/>
        </w:rPr>
      </w:pPr>
    </w:p>
    <w:p w:rsidR="004D294C" w:rsidRPr="004D294C" w:rsidRDefault="004D294C" w:rsidP="004D294C">
      <w:pPr>
        <w:pStyle w:val="Naslov2"/>
        <w:numPr>
          <w:ilvl w:val="0"/>
          <w:numId w:val="9"/>
        </w:numPr>
        <w:rPr>
          <w:rFonts w:ascii="Arial" w:eastAsiaTheme="minorHAnsi" w:hAnsi="Arial" w:cs="Arial"/>
          <w:b/>
          <w:bCs/>
          <w:color w:val="auto"/>
          <w:sz w:val="24"/>
          <w:szCs w:val="24"/>
        </w:rPr>
      </w:pPr>
      <w:bookmarkStart w:id="1" w:name="_Toc97891941"/>
      <w:r w:rsidRPr="004D294C">
        <w:rPr>
          <w:rFonts w:ascii="Arial" w:eastAsiaTheme="minorHAnsi" w:hAnsi="Arial" w:cs="Arial"/>
          <w:b/>
          <w:bCs/>
          <w:color w:val="auto"/>
          <w:sz w:val="24"/>
          <w:szCs w:val="24"/>
        </w:rPr>
        <w:t xml:space="preserve">Nova </w:t>
      </w:r>
      <w:proofErr w:type="spellStart"/>
      <w:r w:rsidRPr="004D294C">
        <w:rPr>
          <w:rFonts w:ascii="Arial" w:eastAsiaTheme="minorHAnsi" w:hAnsi="Arial" w:cs="Arial"/>
          <w:b/>
          <w:bCs/>
          <w:color w:val="auto"/>
          <w:sz w:val="24"/>
          <w:szCs w:val="24"/>
        </w:rPr>
        <w:t>seniorska</w:t>
      </w:r>
      <w:proofErr w:type="spellEnd"/>
      <w:r w:rsidRPr="004D294C">
        <w:rPr>
          <w:rFonts w:ascii="Arial" w:eastAsiaTheme="minorHAnsi" w:hAnsi="Arial" w:cs="Arial"/>
          <w:b/>
          <w:bCs/>
          <w:color w:val="auto"/>
          <w:sz w:val="24"/>
          <w:szCs w:val="24"/>
        </w:rPr>
        <w:t xml:space="preserve"> olajšava + olajšava za prostovoljno opravljanje nalog zaščite</w:t>
      </w:r>
      <w:bookmarkEnd w:id="1"/>
    </w:p>
    <w:p w:rsidR="004D294C" w:rsidRPr="004D294C" w:rsidRDefault="004D294C" w:rsidP="004D294C">
      <w:pPr>
        <w:rPr>
          <w:rFonts w:eastAsiaTheme="minorHAnsi" w:cs="Arial"/>
          <w:szCs w:val="20"/>
          <w:lang w:val="sl-SI"/>
        </w:rPr>
      </w:pPr>
      <w:r w:rsidRPr="004D294C">
        <w:rPr>
          <w:rFonts w:cs="Arial"/>
          <w:szCs w:val="20"/>
          <w:lang w:val="sl-SI"/>
        </w:rPr>
        <w:t xml:space="preserve">Z dopolnitvijo 112. člena ZDoh-2 (osmi odstavek) se rezidentu po dopolnjenem 70. letu starosti in rezidentu, ki v skladu s predpisi o varstvu pred naravnimi in drugimi nesrečami prostovoljno in nepoklicno opravlja operativne naloge zaščite, reševanja in pomoči nepretrgoma najmanj 10 let in ga upravni organ, pristojen za zaščito reševanje in pomoč, vodi v evidenci, prizna zmanjšanje letne davčne osnove v višini 1.500 eurov letno. </w:t>
      </w:r>
    </w:p>
    <w:p w:rsidR="004D294C" w:rsidRPr="004D294C" w:rsidRDefault="004D294C" w:rsidP="004D294C">
      <w:pPr>
        <w:rPr>
          <w:rFonts w:cs="Arial"/>
          <w:szCs w:val="20"/>
          <w:lang w:val="sl-SI"/>
        </w:rPr>
      </w:pPr>
      <w:r w:rsidRPr="004D294C">
        <w:rPr>
          <w:rFonts w:cs="Arial"/>
          <w:szCs w:val="20"/>
          <w:lang w:val="sl-SI"/>
        </w:rPr>
        <w:t>Z dopolnitvijo 127. člena ZDoh-2 se navedeni olajšavi (preračunano na mesečni znesek) priznata pri izračunu akontacije dohodnine ob izplačilu dohodka.</w:t>
      </w:r>
    </w:p>
    <w:p w:rsidR="004D294C" w:rsidRPr="004D294C" w:rsidRDefault="004D294C" w:rsidP="004D294C">
      <w:pPr>
        <w:rPr>
          <w:rFonts w:cs="Arial"/>
          <w:szCs w:val="20"/>
          <w:lang w:val="sl-SI"/>
        </w:rPr>
      </w:pPr>
    </w:p>
    <w:p w:rsidR="004D294C" w:rsidRPr="004D294C" w:rsidRDefault="004D294C" w:rsidP="004D294C">
      <w:pPr>
        <w:rPr>
          <w:rFonts w:cs="Arial"/>
          <w:szCs w:val="20"/>
          <w:lang w:val="sl-SI"/>
        </w:rPr>
      </w:pPr>
      <w:r w:rsidRPr="004D294C">
        <w:rPr>
          <w:rFonts w:cs="Arial"/>
          <w:szCs w:val="20"/>
          <w:lang w:val="sl-SI"/>
        </w:rPr>
        <w:t>Uveljavljanje osebne olajšave plačnik davka označi v polju D05:</w:t>
      </w:r>
    </w:p>
    <w:p w:rsidR="004D294C" w:rsidRPr="004D294C" w:rsidRDefault="004D294C" w:rsidP="004D294C">
      <w:pPr>
        <w:pStyle w:val="Odstavekseznama"/>
        <w:numPr>
          <w:ilvl w:val="0"/>
          <w:numId w:val="11"/>
        </w:numPr>
        <w:jc w:val="both"/>
        <w:rPr>
          <w:rFonts w:cs="Arial"/>
          <w:szCs w:val="20"/>
          <w:lang w:val="sl-SI"/>
        </w:rPr>
      </w:pPr>
      <w:r w:rsidRPr="004D294C">
        <w:rPr>
          <w:rFonts w:cs="Arial"/>
          <w:szCs w:val="20"/>
          <w:lang w:val="sl-SI"/>
        </w:rPr>
        <w:t>Spremeni se naziv polje D05 in se glasi: »</w:t>
      </w:r>
      <w:r w:rsidRPr="004D294C">
        <w:rPr>
          <w:rFonts w:cs="Arial"/>
          <w:bCs/>
          <w:i/>
          <w:szCs w:val="20"/>
          <w:lang w:val="sl-SI"/>
        </w:rPr>
        <w:t>Osebna olajšava za st. nad 70 let in/ali za prostovoljno in nepoklicno opravljanje nalog zaščite«</w:t>
      </w:r>
      <w:r w:rsidRPr="004D294C">
        <w:rPr>
          <w:rFonts w:cs="Arial"/>
          <w:bCs/>
          <w:szCs w:val="20"/>
          <w:lang w:val="sl-SI"/>
        </w:rPr>
        <w:t>.</w:t>
      </w:r>
      <w:r w:rsidRPr="004D294C">
        <w:rPr>
          <w:rFonts w:cs="Arial"/>
          <w:szCs w:val="20"/>
          <w:lang w:val="sl-SI"/>
        </w:rPr>
        <w:t xml:space="preserve"> </w:t>
      </w:r>
    </w:p>
    <w:p w:rsidR="004D294C" w:rsidRPr="004D294C" w:rsidRDefault="004D294C" w:rsidP="004D294C">
      <w:pPr>
        <w:rPr>
          <w:rFonts w:cs="Arial"/>
          <w:szCs w:val="20"/>
          <w:lang w:val="sl-SI"/>
        </w:rPr>
      </w:pPr>
    </w:p>
    <w:p w:rsidR="004D294C" w:rsidRPr="004D294C" w:rsidRDefault="004D294C" w:rsidP="004D294C">
      <w:pPr>
        <w:rPr>
          <w:rFonts w:cs="Arial"/>
          <w:b/>
          <w:bCs/>
          <w:szCs w:val="20"/>
          <w:lang w:val="sl-SI"/>
        </w:rPr>
      </w:pPr>
      <w:r w:rsidRPr="004D294C">
        <w:rPr>
          <w:rFonts w:cs="Arial"/>
          <w:szCs w:val="20"/>
          <w:lang w:val="sl-SI"/>
        </w:rPr>
        <w:t xml:space="preserve">Sprememba se nanaša na naslednje vrste dohodkov prikazanih na </w:t>
      </w:r>
      <w:r w:rsidRPr="004D294C">
        <w:rPr>
          <w:rFonts w:cs="Arial"/>
          <w:b/>
          <w:bCs/>
          <w:szCs w:val="20"/>
          <w:lang w:val="sl-SI"/>
        </w:rPr>
        <w:t>REK-1, REK-1b in/ali REK-2 obrazcu:</w:t>
      </w:r>
    </w:p>
    <w:p w:rsidR="004D294C" w:rsidRPr="004D294C" w:rsidRDefault="004D294C" w:rsidP="004D294C">
      <w:pPr>
        <w:pStyle w:val="Odstavekseznama"/>
        <w:numPr>
          <w:ilvl w:val="0"/>
          <w:numId w:val="12"/>
        </w:numPr>
        <w:jc w:val="both"/>
        <w:rPr>
          <w:rFonts w:cs="Arial"/>
          <w:szCs w:val="20"/>
          <w:lang w:val="sl-SI"/>
        </w:rPr>
      </w:pPr>
      <w:r w:rsidRPr="004D294C">
        <w:rPr>
          <w:rFonts w:cs="Arial"/>
          <w:szCs w:val="20"/>
          <w:lang w:val="sl-SI"/>
        </w:rPr>
        <w:t>REK-1 VD: 1001, 1003, 1089, 1090, 1091, 1095, 1098, 1100, 1101, 1102, 1103, 1106, 1107, 1108, 1110, 1111, 1112, 1113, 1118, 1122, 1127, 1130, 1131, 1132, 1133, 1141, 1143, 1144, 1150, 1151,</w:t>
      </w:r>
    </w:p>
    <w:p w:rsidR="004D294C" w:rsidRPr="004D294C" w:rsidRDefault="004D294C" w:rsidP="004D294C">
      <w:pPr>
        <w:pStyle w:val="Odstavekseznama"/>
        <w:numPr>
          <w:ilvl w:val="0"/>
          <w:numId w:val="12"/>
        </w:numPr>
        <w:jc w:val="both"/>
        <w:rPr>
          <w:rFonts w:cs="Arial"/>
          <w:szCs w:val="20"/>
          <w:lang w:val="sl-SI"/>
        </w:rPr>
      </w:pPr>
      <w:r w:rsidRPr="004D294C">
        <w:rPr>
          <w:rFonts w:cs="Arial"/>
          <w:szCs w:val="20"/>
          <w:lang w:val="sl-SI"/>
        </w:rPr>
        <w:t>REK-1b VD: 1067, 1068, 1080, 1085, 1092,</w:t>
      </w:r>
    </w:p>
    <w:p w:rsidR="004D294C" w:rsidRPr="004D294C" w:rsidRDefault="004D294C" w:rsidP="004D294C">
      <w:pPr>
        <w:pStyle w:val="Odstavekseznama"/>
        <w:numPr>
          <w:ilvl w:val="0"/>
          <w:numId w:val="12"/>
        </w:numPr>
        <w:jc w:val="both"/>
        <w:rPr>
          <w:rFonts w:cs="Arial"/>
          <w:szCs w:val="20"/>
          <w:lang w:val="sl-SI"/>
        </w:rPr>
      </w:pPr>
      <w:r w:rsidRPr="004D294C">
        <w:rPr>
          <w:rFonts w:cs="Arial"/>
          <w:szCs w:val="20"/>
          <w:lang w:val="sl-SI"/>
        </w:rPr>
        <w:t>REK-2 VD: 1804, 1808, 1809, 1810, 1822.</w:t>
      </w:r>
    </w:p>
    <w:p w:rsidR="004D294C" w:rsidRPr="004D294C" w:rsidRDefault="004D294C" w:rsidP="004D294C">
      <w:pPr>
        <w:ind w:left="708"/>
        <w:rPr>
          <w:rFonts w:cs="Arial"/>
          <w:szCs w:val="20"/>
          <w:lang w:val="sl-SI"/>
        </w:rPr>
      </w:pPr>
    </w:p>
    <w:p w:rsidR="004D294C" w:rsidRPr="004D294C" w:rsidRDefault="004D294C" w:rsidP="004D294C">
      <w:pPr>
        <w:pStyle w:val="Naslov2"/>
        <w:numPr>
          <w:ilvl w:val="0"/>
          <w:numId w:val="9"/>
        </w:numPr>
        <w:rPr>
          <w:rFonts w:ascii="Arial" w:eastAsiaTheme="minorHAnsi" w:hAnsi="Arial" w:cs="Arial"/>
          <w:b/>
          <w:bCs/>
          <w:color w:val="auto"/>
          <w:sz w:val="24"/>
          <w:szCs w:val="24"/>
        </w:rPr>
      </w:pPr>
      <w:bookmarkStart w:id="2" w:name="_Toc97891942"/>
      <w:r w:rsidRPr="004D294C">
        <w:rPr>
          <w:rFonts w:ascii="Arial" w:eastAsiaTheme="minorHAnsi" w:hAnsi="Arial" w:cs="Arial"/>
          <w:b/>
          <w:bCs/>
          <w:color w:val="auto"/>
          <w:sz w:val="24"/>
          <w:szCs w:val="24"/>
        </w:rPr>
        <w:lastRenderedPageBreak/>
        <w:t xml:space="preserve">Davčna razbremenitev dohodkov iz oddajanja premoženja v najem </w:t>
      </w:r>
      <w:bookmarkEnd w:id="2"/>
    </w:p>
    <w:p w:rsidR="004D294C" w:rsidRPr="004D294C" w:rsidRDefault="004D294C" w:rsidP="004D294C">
      <w:pPr>
        <w:rPr>
          <w:rFonts w:eastAsiaTheme="minorHAnsi" w:cs="Arial"/>
          <w:szCs w:val="20"/>
          <w:lang w:val="sl-SI"/>
        </w:rPr>
      </w:pPr>
      <w:r w:rsidRPr="004D294C">
        <w:rPr>
          <w:rFonts w:cs="Arial"/>
          <w:szCs w:val="20"/>
          <w:lang w:val="sl-SI"/>
        </w:rPr>
        <w:t>Sprememba 77. člena ZDoh-2 določa zmanjšanje normiranih stroškov, ki se upoštevajo pri določitvi davčne osnove hkrati se na podlagi spremembe 135.č člena ZDoh-2 zniža stopnja za izračun davčnega odtegljaja na 15 %.</w:t>
      </w:r>
    </w:p>
    <w:p w:rsidR="004D294C" w:rsidRPr="004D294C" w:rsidRDefault="004D294C" w:rsidP="004D294C">
      <w:pPr>
        <w:ind w:left="360"/>
        <w:rPr>
          <w:rFonts w:cs="Arial"/>
          <w:szCs w:val="20"/>
          <w:lang w:val="sl-SI"/>
        </w:rPr>
      </w:pPr>
    </w:p>
    <w:p w:rsidR="004D294C" w:rsidRPr="004D294C" w:rsidRDefault="004D294C" w:rsidP="004D294C">
      <w:pPr>
        <w:ind w:left="360"/>
        <w:rPr>
          <w:rFonts w:cs="Arial"/>
          <w:szCs w:val="20"/>
          <w:lang w:val="sl-SI"/>
        </w:rPr>
      </w:pPr>
      <w:bookmarkStart w:id="3" w:name="_Hlk98825029"/>
      <w:r w:rsidRPr="004D294C">
        <w:rPr>
          <w:rFonts w:cs="Arial"/>
          <w:szCs w:val="20"/>
          <w:lang w:val="sl-SI"/>
        </w:rPr>
        <w:t xml:space="preserve">Spremembe se nanašajo na spodaj navedene vrste dohodkov na </w:t>
      </w:r>
      <w:r w:rsidRPr="004D294C">
        <w:rPr>
          <w:rFonts w:cs="Arial"/>
          <w:b/>
          <w:bCs/>
          <w:szCs w:val="20"/>
          <w:lang w:val="sl-SI"/>
        </w:rPr>
        <w:t>REK-2 obrazcu</w:t>
      </w:r>
      <w:r w:rsidRPr="004D294C">
        <w:rPr>
          <w:rFonts w:cs="Arial"/>
          <w:szCs w:val="20"/>
          <w:lang w:val="sl-SI"/>
        </w:rPr>
        <w:t>:</w:t>
      </w:r>
    </w:p>
    <w:tbl>
      <w:tblPr>
        <w:tblStyle w:val="Tabelamrea"/>
        <w:tblW w:w="8707" w:type="dxa"/>
        <w:tblInd w:w="360" w:type="dxa"/>
        <w:tblLook w:val="04A0" w:firstRow="1" w:lastRow="0" w:firstColumn="1" w:lastColumn="0" w:noHBand="0" w:noVBand="1"/>
      </w:tblPr>
      <w:tblGrid>
        <w:gridCol w:w="1903"/>
        <w:gridCol w:w="2127"/>
        <w:gridCol w:w="1701"/>
        <w:gridCol w:w="1559"/>
        <w:gridCol w:w="1417"/>
      </w:tblGrid>
      <w:tr w:rsidR="004D294C" w:rsidRPr="004D294C" w:rsidTr="004D294C">
        <w:tc>
          <w:tcPr>
            <w:tcW w:w="1903" w:type="dxa"/>
            <w:tcBorders>
              <w:top w:val="single" w:sz="4" w:space="0" w:color="auto"/>
              <w:left w:val="single" w:sz="4" w:space="0" w:color="auto"/>
              <w:bottom w:val="single" w:sz="4" w:space="0" w:color="auto"/>
              <w:right w:val="single" w:sz="4" w:space="0" w:color="auto"/>
            </w:tcBorders>
            <w:hideMark/>
          </w:tcPr>
          <w:bookmarkEnd w:id="3"/>
          <w:p w:rsidR="004D294C" w:rsidRPr="004D294C" w:rsidRDefault="004D294C">
            <w:pPr>
              <w:rPr>
                <w:rFonts w:cs="Arial"/>
                <w:sz w:val="20"/>
                <w:szCs w:val="20"/>
                <w:lang w:val="sl-SI"/>
              </w:rPr>
            </w:pPr>
            <w:r w:rsidRPr="004D294C">
              <w:rPr>
                <w:rFonts w:cs="Arial"/>
                <w:sz w:val="20"/>
                <w:szCs w:val="20"/>
                <w:lang w:val="sl-SI"/>
              </w:rPr>
              <w:t xml:space="preserve">Šifra   </w:t>
            </w:r>
          </w:p>
          <w:p w:rsidR="004D294C" w:rsidRPr="004D294C" w:rsidRDefault="004D294C">
            <w:pPr>
              <w:rPr>
                <w:rFonts w:cs="Arial"/>
                <w:sz w:val="20"/>
                <w:szCs w:val="20"/>
                <w:lang w:val="sl-SI"/>
              </w:rPr>
            </w:pPr>
            <w:r w:rsidRPr="004D294C">
              <w:rPr>
                <w:rFonts w:cs="Arial"/>
                <w:sz w:val="20"/>
                <w:szCs w:val="20"/>
                <w:lang w:val="sl-SI"/>
              </w:rPr>
              <w:t>vrste dohodka</w:t>
            </w:r>
          </w:p>
        </w:tc>
        <w:tc>
          <w:tcPr>
            <w:tcW w:w="2127"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Polje zbirni REK-2</w:t>
            </w:r>
          </w:p>
        </w:tc>
        <w:tc>
          <w:tcPr>
            <w:tcW w:w="1701"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 xml:space="preserve">Polje </w:t>
            </w:r>
            <w:proofErr w:type="spellStart"/>
            <w:r w:rsidRPr="004D294C">
              <w:rPr>
                <w:rFonts w:cs="Arial"/>
                <w:sz w:val="20"/>
                <w:szCs w:val="20"/>
                <w:lang w:val="sl-SI"/>
              </w:rPr>
              <w:t>iREK</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stara stopnja do 31.12.2021</w:t>
            </w:r>
          </w:p>
        </w:tc>
        <w:tc>
          <w:tcPr>
            <w:tcW w:w="1417"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nova stopnja od 1.1.2022</w:t>
            </w:r>
          </w:p>
        </w:tc>
      </w:tr>
      <w:tr w:rsidR="004D294C" w:rsidRPr="004D294C" w:rsidTr="004D294C">
        <w:tc>
          <w:tcPr>
            <w:tcW w:w="1903"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1701, 1703, 1705, 1706</w:t>
            </w:r>
          </w:p>
        </w:tc>
        <w:tc>
          <w:tcPr>
            <w:tcW w:w="2127"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106 normirani stroški</w:t>
            </w:r>
          </w:p>
        </w:tc>
        <w:tc>
          <w:tcPr>
            <w:tcW w:w="1701"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A053 normirani stroški</w:t>
            </w:r>
          </w:p>
        </w:tc>
        <w:tc>
          <w:tcPr>
            <w:tcW w:w="1559"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15 %</w:t>
            </w:r>
          </w:p>
        </w:tc>
        <w:tc>
          <w:tcPr>
            <w:tcW w:w="1417"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10 %</w:t>
            </w:r>
          </w:p>
        </w:tc>
      </w:tr>
      <w:tr w:rsidR="004D294C" w:rsidRPr="004D294C" w:rsidTr="004D294C">
        <w:tc>
          <w:tcPr>
            <w:tcW w:w="1903"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1701, 1702, 1703, 1704, 1705, 1706</w:t>
            </w:r>
          </w:p>
        </w:tc>
        <w:tc>
          <w:tcPr>
            <w:tcW w:w="2127"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201 Davčni odtegljaj</w:t>
            </w:r>
          </w:p>
        </w:tc>
        <w:tc>
          <w:tcPr>
            <w:tcW w:w="1701"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A091 Davčni odtegljaj</w:t>
            </w:r>
          </w:p>
        </w:tc>
        <w:tc>
          <w:tcPr>
            <w:tcW w:w="1559"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27,5 %</w:t>
            </w:r>
          </w:p>
        </w:tc>
        <w:tc>
          <w:tcPr>
            <w:tcW w:w="1417"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15 %</w:t>
            </w:r>
          </w:p>
        </w:tc>
      </w:tr>
    </w:tbl>
    <w:p w:rsidR="004D294C" w:rsidRPr="004D294C" w:rsidRDefault="004D294C" w:rsidP="004D294C">
      <w:pPr>
        <w:ind w:left="360"/>
        <w:rPr>
          <w:rFonts w:cs="Arial"/>
          <w:szCs w:val="20"/>
          <w:lang w:val="sl-SI"/>
        </w:rPr>
      </w:pPr>
    </w:p>
    <w:p w:rsidR="004D294C" w:rsidRPr="004D294C" w:rsidRDefault="004D294C" w:rsidP="004D294C">
      <w:pPr>
        <w:pStyle w:val="Naslov2"/>
        <w:numPr>
          <w:ilvl w:val="0"/>
          <w:numId w:val="9"/>
        </w:numPr>
        <w:rPr>
          <w:rFonts w:ascii="Arial" w:eastAsiaTheme="minorHAnsi" w:hAnsi="Arial" w:cs="Arial"/>
          <w:b/>
          <w:bCs/>
          <w:color w:val="auto"/>
          <w:sz w:val="24"/>
          <w:szCs w:val="24"/>
        </w:rPr>
      </w:pPr>
      <w:bookmarkStart w:id="4" w:name="_Toc97891943"/>
      <w:r w:rsidRPr="004D294C">
        <w:rPr>
          <w:rFonts w:ascii="Arial" w:eastAsiaTheme="minorHAnsi" w:hAnsi="Arial" w:cs="Arial"/>
          <w:b/>
          <w:bCs/>
          <w:color w:val="auto"/>
          <w:sz w:val="24"/>
          <w:szCs w:val="24"/>
        </w:rPr>
        <w:t>Davčna razbremenitev dohodkov iz kapitala</w:t>
      </w:r>
      <w:bookmarkEnd w:id="4"/>
      <w:r w:rsidRPr="004D294C">
        <w:rPr>
          <w:rFonts w:ascii="Arial" w:eastAsiaTheme="minorHAnsi" w:hAnsi="Arial" w:cs="Arial"/>
          <w:b/>
          <w:bCs/>
          <w:color w:val="auto"/>
          <w:sz w:val="24"/>
          <w:szCs w:val="24"/>
        </w:rPr>
        <w:t xml:space="preserve"> – obresti in dividende</w:t>
      </w:r>
    </w:p>
    <w:p w:rsidR="004D294C" w:rsidRPr="004D294C" w:rsidRDefault="004D294C" w:rsidP="004D294C">
      <w:pPr>
        <w:rPr>
          <w:rFonts w:eastAsiaTheme="minorHAnsi" w:cs="Arial"/>
          <w:szCs w:val="20"/>
          <w:lang w:val="sl-SI"/>
        </w:rPr>
      </w:pPr>
      <w:r w:rsidRPr="004D294C">
        <w:rPr>
          <w:rFonts w:cs="Arial"/>
          <w:szCs w:val="20"/>
          <w:lang w:val="sl-SI"/>
        </w:rPr>
        <w:t>Sprememba 132. člena ZDoh-2 določa znižanje stopnje davčnega odtegljaja na 25 %:</w:t>
      </w:r>
    </w:p>
    <w:p w:rsidR="004D294C" w:rsidRPr="004D294C" w:rsidRDefault="004D294C" w:rsidP="004D294C">
      <w:pPr>
        <w:rPr>
          <w:rFonts w:cs="Arial"/>
          <w:szCs w:val="20"/>
          <w:lang w:val="sl-SI"/>
        </w:rPr>
      </w:pPr>
    </w:p>
    <w:p w:rsidR="004D294C" w:rsidRPr="004D294C" w:rsidRDefault="004D294C" w:rsidP="004D294C">
      <w:pPr>
        <w:ind w:left="360"/>
        <w:rPr>
          <w:rFonts w:cs="Arial"/>
          <w:szCs w:val="20"/>
          <w:lang w:val="sl-SI"/>
        </w:rPr>
      </w:pPr>
      <w:r w:rsidRPr="004D294C">
        <w:rPr>
          <w:rFonts w:cs="Arial"/>
          <w:szCs w:val="20"/>
          <w:lang w:val="sl-SI"/>
        </w:rPr>
        <w:t xml:space="preserve">Spremembe se nanašajo na spodaj navedene vrste dohodkov na </w:t>
      </w:r>
      <w:r w:rsidRPr="004D294C">
        <w:rPr>
          <w:rFonts w:cs="Arial"/>
          <w:b/>
          <w:bCs/>
          <w:szCs w:val="20"/>
          <w:lang w:val="sl-SI"/>
        </w:rPr>
        <w:t>REK-2 obrazcu</w:t>
      </w:r>
      <w:r w:rsidRPr="004D294C">
        <w:rPr>
          <w:rFonts w:cs="Arial"/>
          <w:szCs w:val="20"/>
          <w:lang w:val="sl-SI"/>
        </w:rPr>
        <w:t>:</w:t>
      </w:r>
    </w:p>
    <w:tbl>
      <w:tblPr>
        <w:tblStyle w:val="Tabelamrea"/>
        <w:tblW w:w="8707" w:type="dxa"/>
        <w:tblInd w:w="360" w:type="dxa"/>
        <w:tblLook w:val="04A0" w:firstRow="1" w:lastRow="0" w:firstColumn="1" w:lastColumn="0" w:noHBand="0" w:noVBand="1"/>
      </w:tblPr>
      <w:tblGrid>
        <w:gridCol w:w="2612"/>
        <w:gridCol w:w="1701"/>
        <w:gridCol w:w="1418"/>
        <w:gridCol w:w="1559"/>
        <w:gridCol w:w="1417"/>
      </w:tblGrid>
      <w:tr w:rsidR="004D294C" w:rsidRPr="004D294C" w:rsidTr="004D294C">
        <w:tc>
          <w:tcPr>
            <w:tcW w:w="2612"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Šifra vrste dohodka</w:t>
            </w:r>
          </w:p>
        </w:tc>
        <w:tc>
          <w:tcPr>
            <w:tcW w:w="1701"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Polje zbirni REK</w:t>
            </w:r>
          </w:p>
        </w:tc>
        <w:tc>
          <w:tcPr>
            <w:tcW w:w="1418"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 xml:space="preserve">Polje </w:t>
            </w:r>
            <w:proofErr w:type="spellStart"/>
            <w:r w:rsidRPr="004D294C">
              <w:rPr>
                <w:rFonts w:cs="Arial"/>
                <w:sz w:val="20"/>
                <w:szCs w:val="20"/>
                <w:lang w:val="sl-SI"/>
              </w:rPr>
              <w:t>iREK</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stara stopnja do 31.12.2021</w:t>
            </w:r>
          </w:p>
        </w:tc>
        <w:tc>
          <w:tcPr>
            <w:tcW w:w="1417"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nova stopnja od 1.1.2022</w:t>
            </w:r>
          </w:p>
        </w:tc>
      </w:tr>
      <w:tr w:rsidR="004D294C" w:rsidRPr="004D294C" w:rsidTr="004D294C">
        <w:tc>
          <w:tcPr>
            <w:tcW w:w="2612"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1901, 1902, 1903, 1904, 1905, 1906, 1907, 1920, 1921, 1922, 1923, 1924</w:t>
            </w:r>
          </w:p>
        </w:tc>
        <w:tc>
          <w:tcPr>
            <w:tcW w:w="1701"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201 Davčni odtegljaj</w:t>
            </w:r>
          </w:p>
        </w:tc>
        <w:tc>
          <w:tcPr>
            <w:tcW w:w="1418"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A091 Davčni odtegljaj</w:t>
            </w:r>
          </w:p>
        </w:tc>
        <w:tc>
          <w:tcPr>
            <w:tcW w:w="1559"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27,5 %</w:t>
            </w:r>
          </w:p>
        </w:tc>
        <w:tc>
          <w:tcPr>
            <w:tcW w:w="1417" w:type="dxa"/>
            <w:tcBorders>
              <w:top w:val="single" w:sz="4" w:space="0" w:color="auto"/>
              <w:left w:val="single" w:sz="4" w:space="0" w:color="auto"/>
              <w:bottom w:val="single" w:sz="4" w:space="0" w:color="auto"/>
              <w:right w:val="single" w:sz="4" w:space="0" w:color="auto"/>
            </w:tcBorders>
            <w:hideMark/>
          </w:tcPr>
          <w:p w:rsidR="004D294C" w:rsidRPr="004D294C" w:rsidRDefault="004D294C">
            <w:pPr>
              <w:rPr>
                <w:rFonts w:cs="Arial"/>
                <w:sz w:val="20"/>
                <w:szCs w:val="20"/>
                <w:lang w:val="sl-SI"/>
              </w:rPr>
            </w:pPr>
            <w:r w:rsidRPr="004D294C">
              <w:rPr>
                <w:rFonts w:cs="Arial"/>
                <w:sz w:val="20"/>
                <w:szCs w:val="20"/>
                <w:lang w:val="sl-SI"/>
              </w:rPr>
              <w:t>25 %</w:t>
            </w:r>
          </w:p>
        </w:tc>
      </w:tr>
    </w:tbl>
    <w:p w:rsidR="004D294C" w:rsidRPr="004D294C" w:rsidRDefault="004D294C" w:rsidP="004D294C">
      <w:pPr>
        <w:rPr>
          <w:rFonts w:cs="Arial"/>
          <w:szCs w:val="20"/>
          <w:lang w:val="sl-SI"/>
        </w:rPr>
      </w:pPr>
    </w:p>
    <w:p w:rsidR="004D294C" w:rsidRPr="004D294C" w:rsidRDefault="004D294C" w:rsidP="004D294C">
      <w:pPr>
        <w:pStyle w:val="Naslov2"/>
        <w:numPr>
          <w:ilvl w:val="0"/>
          <w:numId w:val="9"/>
        </w:numPr>
        <w:rPr>
          <w:rFonts w:ascii="Arial" w:eastAsiaTheme="minorHAnsi" w:hAnsi="Arial" w:cs="Arial"/>
          <w:b/>
          <w:bCs/>
          <w:color w:val="auto"/>
          <w:sz w:val="24"/>
          <w:szCs w:val="24"/>
        </w:rPr>
      </w:pPr>
      <w:bookmarkStart w:id="5" w:name="_Toc97891944"/>
      <w:r w:rsidRPr="004D294C">
        <w:rPr>
          <w:rFonts w:ascii="Arial" w:eastAsiaTheme="minorHAnsi" w:hAnsi="Arial" w:cs="Arial"/>
          <w:b/>
          <w:bCs/>
          <w:color w:val="auto"/>
          <w:sz w:val="24"/>
          <w:szCs w:val="24"/>
        </w:rPr>
        <w:t xml:space="preserve">Sprememba 90. člena ZDoh-2 </w:t>
      </w:r>
      <w:bookmarkEnd w:id="5"/>
    </w:p>
    <w:p w:rsidR="004D294C" w:rsidRPr="004D294C" w:rsidRDefault="004D294C" w:rsidP="004D294C">
      <w:pPr>
        <w:rPr>
          <w:rFonts w:eastAsiaTheme="minorHAnsi" w:cs="Arial"/>
          <w:szCs w:val="20"/>
          <w:lang w:val="sl-SI"/>
        </w:rPr>
      </w:pPr>
      <w:r w:rsidRPr="004D294C">
        <w:rPr>
          <w:rFonts w:cs="Arial"/>
          <w:szCs w:val="20"/>
          <w:lang w:val="sl-SI"/>
        </w:rPr>
        <w:t>Zaradi črtanja 6. točke četrtega odstavka 90. člena ZDoh-2 se za izplačila od 1. 1. 2022 dalje ne uporablja več šifra vrste dohodka 1925.</w:t>
      </w:r>
    </w:p>
    <w:p w:rsidR="004D294C" w:rsidRPr="004D294C" w:rsidRDefault="004D294C" w:rsidP="004D294C">
      <w:pPr>
        <w:rPr>
          <w:rFonts w:cs="Arial"/>
          <w:szCs w:val="20"/>
          <w:lang w:val="sl-SI"/>
        </w:rPr>
      </w:pPr>
    </w:p>
    <w:p w:rsidR="004D294C" w:rsidRPr="004D294C" w:rsidRDefault="004D294C" w:rsidP="004D294C">
      <w:pPr>
        <w:pStyle w:val="Naslov2"/>
        <w:numPr>
          <w:ilvl w:val="0"/>
          <w:numId w:val="9"/>
        </w:numPr>
        <w:rPr>
          <w:rFonts w:ascii="Arial" w:hAnsi="Arial" w:cs="Arial"/>
          <w:color w:val="auto"/>
          <w:sz w:val="20"/>
          <w:szCs w:val="20"/>
        </w:rPr>
      </w:pPr>
      <w:bookmarkStart w:id="6" w:name="_Toc97891945"/>
      <w:r w:rsidRPr="004D294C">
        <w:rPr>
          <w:rFonts w:ascii="Arial" w:eastAsiaTheme="minorHAnsi" w:hAnsi="Arial" w:cs="Arial"/>
          <w:b/>
          <w:bCs/>
          <w:color w:val="auto"/>
          <w:sz w:val="24"/>
          <w:szCs w:val="24"/>
        </w:rPr>
        <w:t>Sprememba lestvice za dohodnino in zneskov olajšav</w:t>
      </w:r>
      <w:bookmarkEnd w:id="6"/>
    </w:p>
    <w:p w:rsidR="004D294C" w:rsidRPr="004D294C" w:rsidRDefault="004D294C" w:rsidP="004D294C">
      <w:pPr>
        <w:rPr>
          <w:rFonts w:cs="Arial"/>
          <w:szCs w:val="20"/>
          <w:lang w:val="sl-SI"/>
        </w:rPr>
      </w:pPr>
      <w:r w:rsidRPr="004D294C">
        <w:rPr>
          <w:rFonts w:cs="Arial"/>
          <w:szCs w:val="20"/>
          <w:lang w:val="sl-SI"/>
        </w:rPr>
        <w:t>Kjer se pri izračunu akontacije dohodnine upošteva lestvica in olajšave, se spremembe 122. in 111. člena ZDoh-2 ter Pravilnika o določitvi usklajenih zneskov olajšav, enačbe za določitev olajšave in lestvice za odmero dohodnine za leto 2022 upoštevajo pri vseh REK obrazcih z datumom izplačila od 1. 1. 2022 dalje.</w:t>
      </w:r>
    </w:p>
    <w:p w:rsidR="004D294C" w:rsidRPr="004D294C" w:rsidRDefault="004D294C" w:rsidP="004D294C">
      <w:pPr>
        <w:rPr>
          <w:rFonts w:cs="Arial"/>
          <w:szCs w:val="20"/>
          <w:lang w:val="sl-SI"/>
        </w:rPr>
      </w:pPr>
    </w:p>
    <w:p w:rsidR="004D294C" w:rsidRPr="004D294C" w:rsidRDefault="004D294C" w:rsidP="004D294C">
      <w:pPr>
        <w:pStyle w:val="Naslov2"/>
        <w:numPr>
          <w:ilvl w:val="0"/>
          <w:numId w:val="9"/>
        </w:numPr>
        <w:rPr>
          <w:rFonts w:ascii="Arial" w:eastAsiaTheme="minorHAnsi" w:hAnsi="Arial" w:cs="Arial"/>
          <w:b/>
          <w:bCs/>
          <w:color w:val="auto"/>
          <w:sz w:val="24"/>
          <w:szCs w:val="24"/>
        </w:rPr>
      </w:pPr>
      <w:r w:rsidRPr="004D294C">
        <w:rPr>
          <w:rFonts w:ascii="Arial" w:eastAsiaTheme="minorHAnsi" w:hAnsi="Arial" w:cs="Arial"/>
          <w:b/>
          <w:bCs/>
          <w:color w:val="auto"/>
          <w:sz w:val="24"/>
          <w:szCs w:val="24"/>
        </w:rPr>
        <w:t>Davčna obravnava opcijskega nagrajevanja</w:t>
      </w:r>
    </w:p>
    <w:p w:rsidR="004D294C" w:rsidRPr="004D294C" w:rsidRDefault="004D294C" w:rsidP="004D294C">
      <w:pPr>
        <w:rPr>
          <w:rFonts w:eastAsiaTheme="minorHAnsi" w:cs="Arial"/>
          <w:szCs w:val="20"/>
          <w:lang w:val="sl-SI"/>
        </w:rPr>
      </w:pPr>
      <w:r w:rsidRPr="004D294C">
        <w:rPr>
          <w:rFonts w:cs="Arial"/>
          <w:szCs w:val="20"/>
          <w:lang w:val="sl-SI"/>
        </w:rPr>
        <w:t>Z novim šestim odstavkom 43. člena ZDoh-2 je določeno, da če delodajalec delojemalcu zagotovi pravico do nakupa oz. pridobitve delnic ali deležev v tej gospodarski družbi ali tej družbi nadrejeni družbi, je vrednost bonitete 65 % vrednosti, ki se določi po splošnem pravilu iz prvega odstavka 43. člena ZDoh-2, in sicer pod pogojem, da je delovno razmerje do dneva izvršitve pravice trajalo več kot eno leto in da se za to boniteto ne uveljavlja ugodnosti v zvezi s plačilom za poslovno uspešnost.</w:t>
      </w:r>
    </w:p>
    <w:p w:rsidR="004D294C" w:rsidRPr="004D294C" w:rsidRDefault="004D294C" w:rsidP="004D294C">
      <w:pPr>
        <w:rPr>
          <w:rFonts w:cs="Arial"/>
          <w:szCs w:val="20"/>
          <w:lang w:val="sl-SI"/>
        </w:rPr>
      </w:pPr>
    </w:p>
    <w:p w:rsidR="004D294C" w:rsidRPr="004D294C" w:rsidRDefault="004D294C" w:rsidP="004D294C">
      <w:pPr>
        <w:rPr>
          <w:rFonts w:cs="Arial"/>
          <w:szCs w:val="20"/>
          <w:lang w:val="sl-SI"/>
        </w:rPr>
      </w:pPr>
      <w:r w:rsidRPr="004D294C">
        <w:rPr>
          <w:rFonts w:cs="Arial"/>
          <w:szCs w:val="20"/>
          <w:lang w:val="sl-SI"/>
        </w:rPr>
        <w:t xml:space="preserve">Uvaja se novo polje v </w:t>
      </w:r>
      <w:proofErr w:type="spellStart"/>
      <w:r w:rsidRPr="004D294C">
        <w:rPr>
          <w:rFonts w:cs="Arial"/>
          <w:szCs w:val="20"/>
          <w:lang w:val="sl-SI"/>
        </w:rPr>
        <w:t>iREK</w:t>
      </w:r>
      <w:proofErr w:type="spellEnd"/>
    </w:p>
    <w:p w:rsidR="004D294C" w:rsidRPr="004D294C" w:rsidRDefault="004D294C" w:rsidP="004D294C">
      <w:pPr>
        <w:ind w:firstLine="708"/>
        <w:rPr>
          <w:rFonts w:cs="Arial"/>
          <w:bCs/>
          <w:szCs w:val="20"/>
          <w:lang w:val="sl-SI"/>
        </w:rPr>
      </w:pPr>
      <w:r w:rsidRPr="004D294C">
        <w:rPr>
          <w:rFonts w:cs="Arial"/>
          <w:b/>
          <w:szCs w:val="20"/>
          <w:lang w:val="sl-SI"/>
        </w:rPr>
        <w:t>B016a</w:t>
      </w:r>
      <w:r w:rsidRPr="004D294C">
        <w:rPr>
          <w:rFonts w:cs="Arial"/>
          <w:bCs/>
          <w:szCs w:val="20"/>
          <w:lang w:val="sl-SI"/>
        </w:rPr>
        <w:t xml:space="preserve"> Boniteta-pravica do nakupa oz. pridobitve delnic ali deležev (6.odst. 43. čl. ZDoh-2),</w:t>
      </w:r>
    </w:p>
    <w:p w:rsidR="004D294C" w:rsidRPr="004D294C" w:rsidRDefault="004D294C" w:rsidP="004D294C">
      <w:pPr>
        <w:rPr>
          <w:rFonts w:cs="Arial"/>
          <w:szCs w:val="20"/>
          <w:lang w:val="sl-SI"/>
        </w:rPr>
      </w:pPr>
      <w:r w:rsidRPr="004D294C">
        <w:rPr>
          <w:rFonts w:cs="Arial"/>
          <w:szCs w:val="20"/>
          <w:lang w:val="sl-SI"/>
        </w:rPr>
        <w:t>ki se uporablja za izplačila od 1. 1. 2022 dalje in ga je možno izpolnjevati na naslednjih vrstah dohodka REK-1 obrazca: 1001, 1091, 1089, 1095, 1098, 1122, 1127.</w:t>
      </w:r>
    </w:p>
    <w:p w:rsidR="004D294C" w:rsidRPr="004D294C" w:rsidRDefault="004D294C" w:rsidP="004D294C">
      <w:pPr>
        <w:rPr>
          <w:rFonts w:cs="Arial"/>
          <w:szCs w:val="20"/>
          <w:lang w:val="sl-SI"/>
        </w:rPr>
      </w:pPr>
    </w:p>
    <w:p w:rsidR="004D294C" w:rsidRPr="004D294C" w:rsidRDefault="004D294C" w:rsidP="004D294C">
      <w:pPr>
        <w:pStyle w:val="Naslov2"/>
        <w:numPr>
          <w:ilvl w:val="0"/>
          <w:numId w:val="9"/>
        </w:numPr>
        <w:rPr>
          <w:rFonts w:ascii="Arial" w:eastAsiaTheme="minorHAnsi" w:hAnsi="Arial" w:cs="Arial"/>
          <w:b/>
          <w:bCs/>
          <w:color w:val="auto"/>
          <w:sz w:val="24"/>
          <w:szCs w:val="24"/>
        </w:rPr>
      </w:pPr>
      <w:r w:rsidRPr="004D294C">
        <w:rPr>
          <w:rFonts w:ascii="Arial" w:eastAsiaTheme="minorHAnsi" w:hAnsi="Arial" w:cs="Arial"/>
          <w:b/>
          <w:bCs/>
          <w:color w:val="auto"/>
          <w:sz w:val="24"/>
          <w:szCs w:val="24"/>
        </w:rPr>
        <w:t xml:space="preserve">Bonitete za uporabo službenega avtomobila na električni pogon </w:t>
      </w:r>
    </w:p>
    <w:p w:rsidR="004D294C" w:rsidRPr="004D294C" w:rsidRDefault="004D294C" w:rsidP="004D294C">
      <w:pPr>
        <w:rPr>
          <w:rFonts w:eastAsiaTheme="minorHAnsi" w:cs="Arial"/>
          <w:szCs w:val="20"/>
          <w:lang w:val="sl-SI"/>
        </w:rPr>
      </w:pPr>
      <w:r w:rsidRPr="004D294C">
        <w:rPr>
          <w:rFonts w:cs="Arial"/>
          <w:szCs w:val="20"/>
          <w:lang w:val="sl-SI"/>
        </w:rPr>
        <w:t>S spremenjenim 2.a odstavkom 43. člena ZDoh-2 se boniteta za uporabo električnega službenega vozila za zasebne namene ne obračuna, je pa potrebno poročanje na REK obrazcu. V primeru uporabe službenega električnega avtomobila se tako za izplačila od 1. 1. 2022 dalje vnese VIN številka, v polje znesek pa vpiše 0 (nič) in označi, električni avto DA.</w:t>
      </w:r>
    </w:p>
    <w:p w:rsidR="004D294C" w:rsidRPr="004D294C" w:rsidRDefault="004D294C" w:rsidP="004D294C">
      <w:pPr>
        <w:rPr>
          <w:rFonts w:cs="Arial"/>
          <w:szCs w:val="20"/>
          <w:lang w:val="sl-SI"/>
        </w:rPr>
      </w:pPr>
      <w:r w:rsidRPr="004D294C">
        <w:rPr>
          <w:rFonts w:cs="Arial"/>
          <w:szCs w:val="20"/>
          <w:lang w:val="sl-SI"/>
        </w:rPr>
        <w:t>Polje se izpolni tudi če v A052 vrsta dohodka 1102 ni izbrana.</w:t>
      </w:r>
    </w:p>
    <w:p w:rsidR="004D294C" w:rsidRPr="004D294C" w:rsidRDefault="004D294C" w:rsidP="004D294C">
      <w:pPr>
        <w:rPr>
          <w:rFonts w:cs="Arial"/>
          <w:szCs w:val="20"/>
          <w:lang w:val="sl-SI"/>
        </w:rPr>
      </w:pPr>
    </w:p>
    <w:p w:rsidR="004D294C" w:rsidRPr="004D294C" w:rsidRDefault="004D294C" w:rsidP="004D294C">
      <w:pPr>
        <w:pStyle w:val="Naslov2"/>
        <w:numPr>
          <w:ilvl w:val="0"/>
          <w:numId w:val="9"/>
        </w:numPr>
        <w:rPr>
          <w:rFonts w:ascii="Arial" w:eastAsiaTheme="minorHAnsi" w:hAnsi="Arial" w:cs="Arial"/>
          <w:b/>
          <w:bCs/>
          <w:color w:val="auto"/>
          <w:sz w:val="24"/>
          <w:szCs w:val="24"/>
        </w:rPr>
      </w:pPr>
      <w:bookmarkStart w:id="7" w:name="_Toc97891947"/>
      <w:r w:rsidRPr="004D294C">
        <w:rPr>
          <w:rFonts w:ascii="Arial" w:eastAsiaTheme="minorHAnsi" w:hAnsi="Arial" w:cs="Arial"/>
          <w:b/>
          <w:bCs/>
          <w:color w:val="auto"/>
          <w:sz w:val="24"/>
          <w:szCs w:val="24"/>
        </w:rPr>
        <w:lastRenderedPageBreak/>
        <w:t>Sprememba na REK-1f</w:t>
      </w:r>
      <w:bookmarkEnd w:id="7"/>
    </w:p>
    <w:p w:rsidR="004D294C" w:rsidRPr="004D294C" w:rsidRDefault="004D294C" w:rsidP="004D294C">
      <w:pPr>
        <w:rPr>
          <w:rFonts w:eastAsiaTheme="minorHAnsi" w:cs="Arial"/>
          <w:szCs w:val="20"/>
          <w:lang w:val="sl-SI"/>
        </w:rPr>
      </w:pPr>
      <w:r w:rsidRPr="004D294C">
        <w:rPr>
          <w:rFonts w:cs="Arial"/>
          <w:szCs w:val="20"/>
          <w:lang w:val="sl-SI"/>
        </w:rPr>
        <w:t xml:space="preserve">Za izplačila od 1. 1. 2022 dalje se doda novo polje </w:t>
      </w:r>
    </w:p>
    <w:p w:rsidR="004D294C" w:rsidRPr="004D294C" w:rsidRDefault="004D294C" w:rsidP="004D294C">
      <w:pPr>
        <w:ind w:left="708"/>
        <w:rPr>
          <w:rFonts w:cs="Arial"/>
          <w:bCs/>
          <w:szCs w:val="20"/>
          <w:lang w:val="sl-SI"/>
        </w:rPr>
      </w:pPr>
      <w:r w:rsidRPr="004D294C">
        <w:rPr>
          <w:rFonts w:cs="Arial"/>
          <w:b/>
          <w:szCs w:val="20"/>
          <w:lang w:val="sl-SI"/>
        </w:rPr>
        <w:t xml:space="preserve">D05: </w:t>
      </w:r>
      <w:r w:rsidRPr="004D294C">
        <w:rPr>
          <w:rFonts w:cs="Arial"/>
          <w:bCs/>
          <w:szCs w:val="20"/>
          <w:lang w:val="sl-SI"/>
        </w:rPr>
        <w:t>Osebna olajšava za starost nad 70 let in/ali za prostovoljno in nepoklicno opravljanje zaščite</w:t>
      </w:r>
    </w:p>
    <w:p w:rsidR="004D294C" w:rsidRPr="004D294C" w:rsidRDefault="004D294C" w:rsidP="004D294C">
      <w:pPr>
        <w:ind w:left="708"/>
        <w:rPr>
          <w:rFonts w:cs="Arial"/>
          <w:b/>
          <w:szCs w:val="20"/>
          <w:lang w:val="sl-SI"/>
        </w:rPr>
      </w:pPr>
    </w:p>
    <w:p w:rsidR="004D294C" w:rsidRPr="004D294C" w:rsidRDefault="004D294C" w:rsidP="004D294C">
      <w:pPr>
        <w:ind w:left="708"/>
        <w:rPr>
          <w:rFonts w:cs="Arial"/>
          <w:b/>
          <w:szCs w:val="20"/>
          <w:lang w:val="sl-SI"/>
        </w:rPr>
      </w:pPr>
      <w:r w:rsidRPr="004D294C">
        <w:rPr>
          <w:rFonts w:cs="Arial"/>
          <w:b/>
          <w:szCs w:val="20"/>
          <w:lang w:val="sl-SI"/>
        </w:rPr>
        <w:t>Sprememba lestvice za dohodnino in zneskov olajšav</w:t>
      </w:r>
    </w:p>
    <w:p w:rsidR="004D294C" w:rsidRPr="004D294C" w:rsidRDefault="004D294C" w:rsidP="004D294C">
      <w:pPr>
        <w:rPr>
          <w:rFonts w:cs="Arial"/>
          <w:szCs w:val="20"/>
          <w:lang w:val="sl-SI"/>
        </w:rPr>
      </w:pPr>
      <w:r w:rsidRPr="004D294C">
        <w:rPr>
          <w:rFonts w:cs="Arial"/>
          <w:szCs w:val="20"/>
          <w:lang w:val="sl-SI"/>
        </w:rPr>
        <w:t xml:space="preserve">Pri izračunu akontacije dohodnine na REK-1f se za izplačila od 1. 1. 2022 dalje upoštevajo spremembe 122. in 111. člena ZDoh-2 ter Pravilnika o določitvi usklajenih zneskov olajšav, enačbe za določitev olajšave in lestvice za odmero dohodnine za leto 2022. </w:t>
      </w:r>
    </w:p>
    <w:p w:rsidR="004D294C" w:rsidRPr="004D294C" w:rsidRDefault="004D294C" w:rsidP="004D294C">
      <w:pPr>
        <w:rPr>
          <w:rFonts w:cs="Arial"/>
          <w:szCs w:val="20"/>
          <w:lang w:val="sl-SI"/>
        </w:rPr>
      </w:pPr>
    </w:p>
    <w:p w:rsidR="004D294C" w:rsidRPr="004D294C" w:rsidRDefault="004D294C" w:rsidP="004D294C">
      <w:pPr>
        <w:rPr>
          <w:rFonts w:cs="Arial"/>
          <w:szCs w:val="20"/>
          <w:lang w:val="sl-SI"/>
        </w:rPr>
      </w:pPr>
    </w:p>
    <w:p w:rsidR="004D294C" w:rsidRPr="004D294C" w:rsidRDefault="004D294C" w:rsidP="004D294C">
      <w:pPr>
        <w:pStyle w:val="Naslov2"/>
        <w:numPr>
          <w:ilvl w:val="0"/>
          <w:numId w:val="9"/>
        </w:numPr>
        <w:rPr>
          <w:rFonts w:ascii="Arial" w:eastAsiaTheme="minorHAnsi" w:hAnsi="Arial" w:cs="Arial"/>
          <w:b/>
          <w:bCs/>
          <w:color w:val="auto"/>
          <w:sz w:val="24"/>
          <w:szCs w:val="24"/>
        </w:rPr>
      </w:pPr>
      <w:r w:rsidRPr="004D294C">
        <w:rPr>
          <w:rFonts w:ascii="Arial" w:eastAsiaTheme="minorHAnsi" w:hAnsi="Arial" w:cs="Arial"/>
          <w:b/>
          <w:bCs/>
          <w:color w:val="auto"/>
          <w:sz w:val="24"/>
          <w:szCs w:val="24"/>
        </w:rPr>
        <w:t xml:space="preserve"> Možnost predložitve popravkov REK obrazcev za izplačila od 1. 1. 2022 dalje</w:t>
      </w:r>
    </w:p>
    <w:p w:rsidR="004D294C" w:rsidRPr="004D294C" w:rsidRDefault="004D294C" w:rsidP="004D294C">
      <w:pPr>
        <w:rPr>
          <w:rFonts w:eastAsiaTheme="minorHAnsi" w:cs="Arial"/>
          <w:b/>
          <w:bCs/>
          <w:color w:val="000000"/>
          <w:szCs w:val="20"/>
          <w:lang w:val="sl-SI"/>
        </w:rPr>
      </w:pPr>
    </w:p>
    <w:p w:rsidR="004D294C" w:rsidRPr="004D294C" w:rsidRDefault="004D294C" w:rsidP="004D294C">
      <w:pPr>
        <w:rPr>
          <w:rFonts w:cs="Arial"/>
          <w:b/>
          <w:bCs/>
          <w:color w:val="000000"/>
          <w:szCs w:val="20"/>
          <w:lang w:val="sl-SI"/>
        </w:rPr>
      </w:pPr>
      <w:r w:rsidRPr="004D294C">
        <w:rPr>
          <w:rFonts w:cs="Arial"/>
          <w:b/>
          <w:bCs/>
          <w:color w:val="000000"/>
          <w:szCs w:val="20"/>
          <w:lang w:val="sl-SI"/>
        </w:rPr>
        <w:t xml:space="preserve">Dohodki, ki se ne vštevajo v letno davčno osnovo </w:t>
      </w:r>
    </w:p>
    <w:p w:rsidR="004D294C" w:rsidRPr="004D294C" w:rsidRDefault="004D294C" w:rsidP="004D294C">
      <w:pPr>
        <w:rPr>
          <w:rFonts w:cs="Arial"/>
          <w:szCs w:val="20"/>
          <w:lang w:val="sl-SI"/>
        </w:rPr>
      </w:pPr>
      <w:r w:rsidRPr="004D294C">
        <w:rPr>
          <w:rFonts w:cs="Arial"/>
          <w:szCs w:val="20"/>
          <w:lang w:val="sl-SI"/>
        </w:rPr>
        <w:t>Za dohodke, ki se ne vštevajo v letno davčno osnovo oziroma se od njih obračunana (akontacija) dohodnina šteje za dokončni davek (</w:t>
      </w:r>
      <w:r w:rsidRPr="004D294C">
        <w:rPr>
          <w:rFonts w:cs="Arial"/>
          <w:szCs w:val="20"/>
          <w:u w:val="single"/>
          <w:lang w:val="sl-SI"/>
        </w:rPr>
        <w:t>dividende, obresti, dohodki iz oddajanja premoženja v najem, dohodki iz zaposlitve nerezidentov</w:t>
      </w:r>
      <w:r w:rsidRPr="004D294C">
        <w:rPr>
          <w:rFonts w:cs="Arial"/>
          <w:szCs w:val="20"/>
          <w:lang w:val="sl-SI"/>
        </w:rPr>
        <w:t>), in so bili prejeti od 1. 1. 2022 dalje ter je davčna obveznost na podlagi predloženega REK-2 obrazca nastala pred uveljavitvijo novele ZDoh-2Z, plačnik davka popravi REK-2 obrazec. Popravek REK obrazca se izvede:</w:t>
      </w:r>
    </w:p>
    <w:p w:rsidR="004D294C" w:rsidRPr="004D294C" w:rsidRDefault="004D294C" w:rsidP="004D294C">
      <w:pPr>
        <w:pStyle w:val="Odstavekseznama"/>
        <w:numPr>
          <w:ilvl w:val="0"/>
          <w:numId w:val="13"/>
        </w:numPr>
        <w:jc w:val="both"/>
        <w:rPr>
          <w:rFonts w:cs="Arial"/>
          <w:szCs w:val="20"/>
          <w:lang w:val="sl-SI"/>
        </w:rPr>
      </w:pPr>
      <w:r w:rsidRPr="004D294C">
        <w:rPr>
          <w:rFonts w:cs="Arial"/>
          <w:szCs w:val="20"/>
          <w:lang w:val="sl-SI"/>
        </w:rPr>
        <w:t xml:space="preserve">Plačnik davka od dogovorjenega (bruto) zneska dohodka po določbah ZDoh-2Z na novo izračuna davčni odtegljaj. Premalo izplačan neto znesek dohodka nakaže prejemniku dohodka in ob smiselni uporabi določb 54. člena Zakona o davčnem postopku predloži popravek REK obrazca. Po prejemu popravka REK obrazca se </w:t>
      </w:r>
      <w:bookmarkStart w:id="8" w:name="_Hlk98760545"/>
      <w:r w:rsidRPr="004D294C">
        <w:rPr>
          <w:rFonts w:cs="Arial"/>
          <w:szCs w:val="20"/>
          <w:lang w:val="sl-SI"/>
        </w:rPr>
        <w:t>v davčnem knjigovodstvu vzpostavi preplačilo na kontu davčnega odtegljaja</w:t>
      </w:r>
      <w:bookmarkEnd w:id="8"/>
      <w:r w:rsidRPr="004D294C">
        <w:rPr>
          <w:rFonts w:cs="Arial"/>
          <w:szCs w:val="20"/>
          <w:lang w:val="sl-SI"/>
        </w:rPr>
        <w:t>, ki ga Finančna uprava RS nakaže na račun plačnik davka, ali pa ga plačnik davka porabi za poplačilo bodočih davčnih obveznosti.</w:t>
      </w:r>
    </w:p>
    <w:p w:rsidR="004D294C" w:rsidRPr="004D294C" w:rsidRDefault="004D294C" w:rsidP="004D294C">
      <w:pPr>
        <w:pStyle w:val="Odstavekseznama"/>
        <w:numPr>
          <w:ilvl w:val="0"/>
          <w:numId w:val="13"/>
        </w:numPr>
        <w:jc w:val="both"/>
        <w:rPr>
          <w:rFonts w:cs="Arial"/>
          <w:szCs w:val="20"/>
          <w:lang w:val="sl-SI"/>
        </w:rPr>
      </w:pPr>
      <w:r w:rsidRPr="004D294C">
        <w:rPr>
          <w:rFonts w:cs="Arial"/>
          <w:szCs w:val="20"/>
          <w:lang w:val="sl-SI"/>
        </w:rPr>
        <w:t>Če je plačilo dogovorjeno v neto znesku plačnik davka od dogovorjenega neto zneska dohodka, ki ga je izplačal fizični osebi po določbah ZDoh-2Z izračuna znesek bruto dohodka (preračuna iz neto zneska, primeroma pri najemnini uporabi koeficient 1,156). Ob smiselni uporabi določb 54. člena Zakona o davčnem postopku predloži popravek REK obrazca. Tudi ob nespremenjenem neto znesku dohodka se v davčnem knjigovodstvu vzpostavi preplačilo na kontu davčnega odtegljaja, ki ga Finančna uprava nakaže na račun plačnika davka, ali pa ga plačnik davka porabi za poplačilo bodočih davčnih obveznosti.</w:t>
      </w:r>
    </w:p>
    <w:p w:rsidR="004D294C" w:rsidRPr="004D294C" w:rsidRDefault="004D294C" w:rsidP="004D294C">
      <w:pPr>
        <w:rPr>
          <w:rFonts w:cs="Arial"/>
          <w:szCs w:val="20"/>
          <w:lang w:val="sl-SI"/>
        </w:rPr>
      </w:pPr>
    </w:p>
    <w:p w:rsidR="004D294C" w:rsidRPr="004D294C" w:rsidRDefault="004D294C" w:rsidP="004D294C">
      <w:pPr>
        <w:rPr>
          <w:rFonts w:cs="Arial"/>
          <w:b/>
          <w:bCs/>
          <w:szCs w:val="20"/>
          <w:lang w:val="sl-SI"/>
        </w:rPr>
      </w:pPr>
      <w:r w:rsidRPr="004D294C">
        <w:rPr>
          <w:rFonts w:cs="Arial"/>
          <w:b/>
          <w:bCs/>
          <w:szCs w:val="20"/>
          <w:lang w:val="sl-SI"/>
        </w:rPr>
        <w:t>Dohodki, ki se vštevajo v letno davčno osnovo</w:t>
      </w:r>
    </w:p>
    <w:p w:rsidR="004D294C" w:rsidRPr="004D294C" w:rsidRDefault="004D294C" w:rsidP="004D294C">
      <w:pPr>
        <w:rPr>
          <w:rFonts w:cs="Arial"/>
          <w:szCs w:val="20"/>
          <w:lang w:val="sl-SI"/>
        </w:rPr>
      </w:pPr>
      <w:r w:rsidRPr="004D294C">
        <w:rPr>
          <w:rFonts w:cs="Arial"/>
          <w:szCs w:val="20"/>
          <w:lang w:val="sl-SI"/>
        </w:rPr>
        <w:t>Za dohodke, ki se vštevajo v letno davčno osnovo se bodo nova pravila, določena z ZDoh-2Z (lestvica, osebne olajšave), uporabila pri letni odmeri dohodnine. Pri tem bo davčni organ opravil ustrezen poračun dohodnine zaradi preveč plačane akontacije dohodnine na podlagi REK obrazcev za izplačila dohodkov, prejeta pred uveljavitvijo novele ZDoh-2Z.</w:t>
      </w:r>
    </w:p>
    <w:p w:rsidR="004D294C" w:rsidRPr="004D294C" w:rsidRDefault="004D294C" w:rsidP="004D294C">
      <w:pPr>
        <w:rPr>
          <w:rFonts w:cs="Arial"/>
          <w:szCs w:val="20"/>
          <w:lang w:val="sl-SI"/>
        </w:rPr>
      </w:pPr>
    </w:p>
    <w:p w:rsidR="004D294C" w:rsidRPr="004D294C" w:rsidRDefault="004D294C" w:rsidP="004D294C">
      <w:pPr>
        <w:rPr>
          <w:rFonts w:cs="Arial"/>
          <w:szCs w:val="20"/>
          <w:lang w:val="sl-SI"/>
        </w:rPr>
      </w:pPr>
      <w:r w:rsidRPr="004D294C">
        <w:rPr>
          <w:rFonts w:cs="Arial"/>
          <w:szCs w:val="20"/>
          <w:lang w:val="sl-SI"/>
        </w:rPr>
        <w:t>Plačnik davka spremenjene določbe ZDoh-2 prvič upošteva v REK obrazcu za dohodke, ki bodo zavezancu izplačani po uveljavitvi novele ZDoh-2Z.</w:t>
      </w:r>
    </w:p>
    <w:p w:rsidR="004D294C" w:rsidRPr="004D294C" w:rsidRDefault="004D294C" w:rsidP="004D294C">
      <w:pPr>
        <w:rPr>
          <w:rFonts w:cs="Arial"/>
          <w:szCs w:val="20"/>
          <w:lang w:val="sl-SI"/>
        </w:rPr>
      </w:pPr>
    </w:p>
    <w:p w:rsidR="004D294C" w:rsidRPr="004D294C" w:rsidRDefault="004D294C" w:rsidP="004D294C">
      <w:pPr>
        <w:rPr>
          <w:rFonts w:cs="Arial"/>
          <w:szCs w:val="20"/>
          <w:lang w:val="sl-SI"/>
        </w:rPr>
      </w:pPr>
      <w:r w:rsidRPr="004D294C">
        <w:rPr>
          <w:rFonts w:cs="Arial"/>
          <w:szCs w:val="20"/>
          <w:lang w:val="sl-SI"/>
        </w:rPr>
        <w:t xml:space="preserve">Plačnik davka lahko tudi za dohodke, ki se vštevajo v letno davčno osnovo, izplačane pred uveljavitvijo novele ZDoh-2Z, davčnemu organu predloži popravek REK obrazca, če se tako dogovori s prejemnikom dohodka, kateremu plačnik davka ob tem nakaže premalo izplačan neto znesek dohodka. </w:t>
      </w:r>
    </w:p>
    <w:p w:rsidR="004D294C" w:rsidRPr="004D294C" w:rsidRDefault="004D294C" w:rsidP="004D294C">
      <w:pPr>
        <w:rPr>
          <w:rFonts w:cs="Arial"/>
          <w:szCs w:val="20"/>
          <w:lang w:val="sl-SI"/>
        </w:rPr>
      </w:pPr>
    </w:p>
    <w:p w:rsidR="004D294C" w:rsidRPr="004D294C" w:rsidRDefault="004D294C" w:rsidP="004D294C">
      <w:pPr>
        <w:rPr>
          <w:rFonts w:cs="Arial"/>
          <w:szCs w:val="20"/>
          <w:lang w:val="sl-SI"/>
        </w:rPr>
      </w:pPr>
      <w:r w:rsidRPr="004D294C">
        <w:rPr>
          <w:rFonts w:cs="Arial"/>
          <w:szCs w:val="20"/>
          <w:lang w:val="sl-SI"/>
        </w:rPr>
        <w:t>Popravek se vloži tudi v primeru izplačila dohodka, za katerega je z novelo ZDoh-2Z predvidena bolj ugodna davčna obravnava (npr. boniteta za službeni avto na električni pogon, izplačilo družinske pokojnine, idr.).</w:t>
      </w:r>
    </w:p>
    <w:p w:rsidR="004D294C" w:rsidRPr="004D294C" w:rsidRDefault="004D294C" w:rsidP="004D294C">
      <w:pPr>
        <w:rPr>
          <w:rFonts w:cs="Arial"/>
          <w:szCs w:val="20"/>
          <w:lang w:val="sl-SI"/>
        </w:rPr>
      </w:pPr>
    </w:p>
    <w:p w:rsidR="004D294C" w:rsidRPr="004D294C" w:rsidRDefault="004D294C" w:rsidP="008302A0">
      <w:pPr>
        <w:spacing w:line="276" w:lineRule="auto"/>
        <w:jc w:val="both"/>
        <w:rPr>
          <w:lang w:val="sl-SI"/>
        </w:rPr>
      </w:pPr>
    </w:p>
    <w:sectPr w:rsidR="004D294C" w:rsidRPr="004D294C" w:rsidSect="00F0025B">
      <w:headerReference w:type="default" r:id="rId9"/>
      <w:footerReference w:type="default" r:id="rId10"/>
      <w:headerReference w:type="first" r:id="rId11"/>
      <w:footerReference w:type="first" r:id="rId12"/>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C25" w:rsidRDefault="00833C25">
      <w:pPr>
        <w:spacing w:line="240" w:lineRule="auto"/>
      </w:pPr>
      <w:r>
        <w:separator/>
      </w:r>
    </w:p>
  </w:endnote>
  <w:endnote w:type="continuationSeparator" w:id="0">
    <w:p w:rsidR="00833C25" w:rsidRDefault="00833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A88" w:rsidRDefault="00EB1EF4" w:rsidP="000F3A8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8547AC">
      <w:rPr>
        <w:rFonts w:cs="Arial"/>
        <w:noProof/>
        <w:sz w:val="16"/>
      </w:rPr>
      <w:t>3</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8547AC">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A88" w:rsidRDefault="00EB1EF4" w:rsidP="000F3A8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F06CE">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F06CE">
      <w:rPr>
        <w:rFonts w:cs="Arial"/>
        <w:noProof/>
        <w:sz w:val="16"/>
      </w:rPr>
      <w:t>3</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C25" w:rsidRDefault="00833C25">
      <w:pPr>
        <w:spacing w:line="240" w:lineRule="auto"/>
      </w:pPr>
      <w:r>
        <w:separator/>
      </w:r>
    </w:p>
  </w:footnote>
  <w:footnote w:type="continuationSeparator" w:id="0">
    <w:p w:rsidR="00833C25" w:rsidRDefault="00833C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F36" w:rsidRPr="00110CBD" w:rsidRDefault="00394F3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53798" w:rsidTr="00902B19">
      <w:trPr>
        <w:cantSplit/>
        <w:trHeight w:hRule="exact" w:val="847"/>
      </w:trPr>
      <w:tc>
        <w:tcPr>
          <w:tcW w:w="649" w:type="dxa"/>
        </w:tcPr>
        <w:p w:rsidR="00394F36" w:rsidRDefault="00EB1EF4"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p w:rsidR="00394F36" w:rsidRPr="006D42D9" w:rsidRDefault="00394F36" w:rsidP="006D42D9">
          <w:pPr>
            <w:rPr>
              <w:rFonts w:ascii="Republika" w:hAnsi="Republika"/>
              <w:sz w:val="60"/>
              <w:szCs w:val="60"/>
              <w:lang w:val="sl-SI"/>
            </w:rPr>
          </w:pPr>
        </w:p>
      </w:tc>
    </w:tr>
  </w:tbl>
  <w:p w:rsidR="00902B19" w:rsidRPr="008F3500" w:rsidRDefault="00902B19" w:rsidP="00902B19">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926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28A99" id="Raven povezovalnik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F+E90fOAQAAdgMA&#10;AA4AAAAAAAAAAAAAAAAALgIAAGRycy9lMm9Eb2MueG1sUEsBAi0AFAAGAAgAAAAhADujJPngAAAA&#10;CwEAAA8AAAAAAAAAAAAAAAAAKAQAAGRycy9kb3ducmV2LnhtbFBLBQYAAAAABAAEAPMAAAA1BQAA&#10;AAA=&#10;" o:allowincell="f" strokecolor="#428299" strokeweight=".5pt">
              <w10:wrap anchory="page"/>
            </v:line>
          </w:pict>
        </mc:Fallback>
      </mc:AlternateContent>
    </w:r>
    <w:r w:rsidRPr="008F3500">
      <w:rPr>
        <w:rFonts w:ascii="Republika" w:hAnsi="Republika"/>
        <w:lang w:val="sl-SI"/>
      </w:rPr>
      <w:t>REPUBLIKA SLOVENIJA</w:t>
    </w:r>
  </w:p>
  <w:p w:rsidR="00902B19" w:rsidRPr="008F3500" w:rsidRDefault="00902B19" w:rsidP="00902B19">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902B19" w:rsidRDefault="00902B19" w:rsidP="00902B19">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902B19" w:rsidRPr="008F3500" w:rsidRDefault="00902B19" w:rsidP="00902B19">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rsidR="00902B19" w:rsidRPr="008F3500" w:rsidRDefault="00902B19" w:rsidP="00902B1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902B19" w:rsidRPr="008F3500" w:rsidRDefault="00902B19" w:rsidP="00902B1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rsidR="00902B19" w:rsidRPr="008F3500" w:rsidRDefault="00902B19" w:rsidP="00902B1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394F36" w:rsidRPr="008F3500" w:rsidRDefault="00394F36" w:rsidP="00A23BD1">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8BC23900">
      <w:start w:val="1"/>
      <w:numFmt w:val="decimal"/>
      <w:lvlText w:val="%1."/>
      <w:lvlJc w:val="left"/>
      <w:pPr>
        <w:tabs>
          <w:tab w:val="num" w:pos="1080"/>
        </w:tabs>
        <w:ind w:left="1080" w:hanging="360"/>
      </w:pPr>
      <w:rPr>
        <w:rFonts w:hint="default"/>
      </w:rPr>
    </w:lvl>
    <w:lvl w:ilvl="1" w:tplc="113454CA" w:tentative="1">
      <w:start w:val="1"/>
      <w:numFmt w:val="lowerLetter"/>
      <w:lvlText w:val="%2."/>
      <w:lvlJc w:val="left"/>
      <w:pPr>
        <w:ind w:left="1800" w:hanging="360"/>
      </w:pPr>
    </w:lvl>
    <w:lvl w:ilvl="2" w:tplc="20EC85C2" w:tentative="1">
      <w:start w:val="1"/>
      <w:numFmt w:val="lowerRoman"/>
      <w:lvlText w:val="%3."/>
      <w:lvlJc w:val="right"/>
      <w:pPr>
        <w:ind w:left="2520" w:hanging="180"/>
      </w:pPr>
    </w:lvl>
    <w:lvl w:ilvl="3" w:tplc="CA4AFA2C" w:tentative="1">
      <w:start w:val="1"/>
      <w:numFmt w:val="decimal"/>
      <w:lvlText w:val="%4."/>
      <w:lvlJc w:val="left"/>
      <w:pPr>
        <w:ind w:left="3240" w:hanging="360"/>
      </w:pPr>
    </w:lvl>
    <w:lvl w:ilvl="4" w:tplc="FD567830" w:tentative="1">
      <w:start w:val="1"/>
      <w:numFmt w:val="lowerLetter"/>
      <w:lvlText w:val="%5."/>
      <w:lvlJc w:val="left"/>
      <w:pPr>
        <w:ind w:left="3960" w:hanging="360"/>
      </w:pPr>
    </w:lvl>
    <w:lvl w:ilvl="5" w:tplc="547CB204" w:tentative="1">
      <w:start w:val="1"/>
      <w:numFmt w:val="lowerRoman"/>
      <w:lvlText w:val="%6."/>
      <w:lvlJc w:val="right"/>
      <w:pPr>
        <w:ind w:left="4680" w:hanging="180"/>
      </w:pPr>
    </w:lvl>
    <w:lvl w:ilvl="6" w:tplc="F77C1A88" w:tentative="1">
      <w:start w:val="1"/>
      <w:numFmt w:val="decimal"/>
      <w:lvlText w:val="%7."/>
      <w:lvlJc w:val="left"/>
      <w:pPr>
        <w:ind w:left="5400" w:hanging="360"/>
      </w:pPr>
    </w:lvl>
    <w:lvl w:ilvl="7" w:tplc="3FB20DDC" w:tentative="1">
      <w:start w:val="1"/>
      <w:numFmt w:val="lowerLetter"/>
      <w:lvlText w:val="%8."/>
      <w:lvlJc w:val="left"/>
      <w:pPr>
        <w:ind w:left="6120" w:hanging="360"/>
      </w:pPr>
    </w:lvl>
    <w:lvl w:ilvl="8" w:tplc="32C882DC"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34DC6684">
      <w:start w:val="1"/>
      <w:numFmt w:val="decimal"/>
      <w:lvlText w:val="%1."/>
      <w:lvlJc w:val="left"/>
      <w:pPr>
        <w:tabs>
          <w:tab w:val="num" w:pos="360"/>
        </w:tabs>
        <w:ind w:left="360" w:hanging="360"/>
      </w:pPr>
      <w:rPr>
        <w:rFonts w:hint="default"/>
      </w:rPr>
    </w:lvl>
    <w:lvl w:ilvl="1" w:tplc="6652E966" w:tentative="1">
      <w:start w:val="1"/>
      <w:numFmt w:val="lowerLetter"/>
      <w:lvlText w:val="%2."/>
      <w:lvlJc w:val="left"/>
      <w:pPr>
        <w:ind w:left="1080" w:hanging="360"/>
      </w:pPr>
    </w:lvl>
    <w:lvl w:ilvl="2" w:tplc="864ED37A" w:tentative="1">
      <w:start w:val="1"/>
      <w:numFmt w:val="lowerRoman"/>
      <w:lvlText w:val="%3."/>
      <w:lvlJc w:val="right"/>
      <w:pPr>
        <w:ind w:left="1800" w:hanging="180"/>
      </w:pPr>
    </w:lvl>
    <w:lvl w:ilvl="3" w:tplc="7CF672E2" w:tentative="1">
      <w:start w:val="1"/>
      <w:numFmt w:val="decimal"/>
      <w:lvlText w:val="%4."/>
      <w:lvlJc w:val="left"/>
      <w:pPr>
        <w:ind w:left="2520" w:hanging="360"/>
      </w:pPr>
    </w:lvl>
    <w:lvl w:ilvl="4" w:tplc="D158C940" w:tentative="1">
      <w:start w:val="1"/>
      <w:numFmt w:val="lowerLetter"/>
      <w:lvlText w:val="%5."/>
      <w:lvlJc w:val="left"/>
      <w:pPr>
        <w:ind w:left="3240" w:hanging="360"/>
      </w:pPr>
    </w:lvl>
    <w:lvl w:ilvl="5" w:tplc="0EBECE92" w:tentative="1">
      <w:start w:val="1"/>
      <w:numFmt w:val="lowerRoman"/>
      <w:lvlText w:val="%6."/>
      <w:lvlJc w:val="right"/>
      <w:pPr>
        <w:ind w:left="3960" w:hanging="180"/>
      </w:pPr>
    </w:lvl>
    <w:lvl w:ilvl="6" w:tplc="401CE330" w:tentative="1">
      <w:start w:val="1"/>
      <w:numFmt w:val="decimal"/>
      <w:lvlText w:val="%7."/>
      <w:lvlJc w:val="left"/>
      <w:pPr>
        <w:ind w:left="4680" w:hanging="360"/>
      </w:pPr>
    </w:lvl>
    <w:lvl w:ilvl="7" w:tplc="58B0BEB2" w:tentative="1">
      <w:start w:val="1"/>
      <w:numFmt w:val="lowerLetter"/>
      <w:lvlText w:val="%8."/>
      <w:lvlJc w:val="left"/>
      <w:pPr>
        <w:ind w:left="5400" w:hanging="360"/>
      </w:pPr>
    </w:lvl>
    <w:lvl w:ilvl="8" w:tplc="6BB80190" w:tentative="1">
      <w:start w:val="1"/>
      <w:numFmt w:val="lowerRoman"/>
      <w:lvlText w:val="%9."/>
      <w:lvlJc w:val="right"/>
      <w:pPr>
        <w:ind w:left="6120" w:hanging="180"/>
      </w:pPr>
    </w:lvl>
  </w:abstractNum>
  <w:abstractNum w:abstractNumId="2" w15:restartNumberingAfterBreak="0">
    <w:nsid w:val="16172CEE"/>
    <w:multiLevelType w:val="hybridMultilevel"/>
    <w:tmpl w:val="D77670DA"/>
    <w:lvl w:ilvl="0" w:tplc="FEF47820">
      <w:start w:val="1000"/>
      <w:numFmt w:val="bullet"/>
      <w:lvlText w:val="-"/>
      <w:lvlJc w:val="left"/>
      <w:pPr>
        <w:ind w:left="360" w:hanging="360"/>
      </w:pPr>
      <w:rPr>
        <w:rFonts w:ascii="Arial" w:eastAsia="Times New Roman" w:hAnsi="Arial" w:cs="Arial" w:hint="default"/>
      </w:rPr>
    </w:lvl>
    <w:lvl w:ilvl="1" w:tplc="08C0F204" w:tentative="1">
      <w:start w:val="1"/>
      <w:numFmt w:val="bullet"/>
      <w:lvlText w:val="o"/>
      <w:lvlJc w:val="left"/>
      <w:pPr>
        <w:ind w:left="1080" w:hanging="360"/>
      </w:pPr>
      <w:rPr>
        <w:rFonts w:ascii="Courier New" w:hAnsi="Courier New" w:cs="Courier New" w:hint="default"/>
      </w:rPr>
    </w:lvl>
    <w:lvl w:ilvl="2" w:tplc="13AC2EDA" w:tentative="1">
      <w:start w:val="1"/>
      <w:numFmt w:val="bullet"/>
      <w:lvlText w:val=""/>
      <w:lvlJc w:val="left"/>
      <w:pPr>
        <w:ind w:left="1800" w:hanging="360"/>
      </w:pPr>
      <w:rPr>
        <w:rFonts w:ascii="Wingdings" w:hAnsi="Wingdings" w:hint="default"/>
      </w:rPr>
    </w:lvl>
    <w:lvl w:ilvl="3" w:tplc="AF62CBB6" w:tentative="1">
      <w:start w:val="1"/>
      <w:numFmt w:val="bullet"/>
      <w:lvlText w:val=""/>
      <w:lvlJc w:val="left"/>
      <w:pPr>
        <w:ind w:left="2520" w:hanging="360"/>
      </w:pPr>
      <w:rPr>
        <w:rFonts w:ascii="Symbol" w:hAnsi="Symbol" w:hint="default"/>
      </w:rPr>
    </w:lvl>
    <w:lvl w:ilvl="4" w:tplc="A4D89E70" w:tentative="1">
      <w:start w:val="1"/>
      <w:numFmt w:val="bullet"/>
      <w:lvlText w:val="o"/>
      <w:lvlJc w:val="left"/>
      <w:pPr>
        <w:ind w:left="3240" w:hanging="360"/>
      </w:pPr>
      <w:rPr>
        <w:rFonts w:ascii="Courier New" w:hAnsi="Courier New" w:cs="Courier New" w:hint="default"/>
      </w:rPr>
    </w:lvl>
    <w:lvl w:ilvl="5" w:tplc="BB729FF0" w:tentative="1">
      <w:start w:val="1"/>
      <w:numFmt w:val="bullet"/>
      <w:lvlText w:val=""/>
      <w:lvlJc w:val="left"/>
      <w:pPr>
        <w:ind w:left="3960" w:hanging="360"/>
      </w:pPr>
      <w:rPr>
        <w:rFonts w:ascii="Wingdings" w:hAnsi="Wingdings" w:hint="default"/>
      </w:rPr>
    </w:lvl>
    <w:lvl w:ilvl="6" w:tplc="3A6A56A8" w:tentative="1">
      <w:start w:val="1"/>
      <w:numFmt w:val="bullet"/>
      <w:lvlText w:val=""/>
      <w:lvlJc w:val="left"/>
      <w:pPr>
        <w:ind w:left="4680" w:hanging="360"/>
      </w:pPr>
      <w:rPr>
        <w:rFonts w:ascii="Symbol" w:hAnsi="Symbol" w:hint="default"/>
      </w:rPr>
    </w:lvl>
    <w:lvl w:ilvl="7" w:tplc="C7C086B6" w:tentative="1">
      <w:start w:val="1"/>
      <w:numFmt w:val="bullet"/>
      <w:lvlText w:val="o"/>
      <w:lvlJc w:val="left"/>
      <w:pPr>
        <w:ind w:left="5400" w:hanging="360"/>
      </w:pPr>
      <w:rPr>
        <w:rFonts w:ascii="Courier New" w:hAnsi="Courier New" w:cs="Courier New" w:hint="default"/>
      </w:rPr>
    </w:lvl>
    <w:lvl w:ilvl="8" w:tplc="99F24D72" w:tentative="1">
      <w:start w:val="1"/>
      <w:numFmt w:val="bullet"/>
      <w:lvlText w:val=""/>
      <w:lvlJc w:val="left"/>
      <w:pPr>
        <w:ind w:left="6120" w:hanging="360"/>
      </w:pPr>
      <w:rPr>
        <w:rFonts w:ascii="Wingdings" w:hAnsi="Wingdings" w:hint="default"/>
      </w:rPr>
    </w:lvl>
  </w:abstractNum>
  <w:abstractNum w:abstractNumId="3" w15:restartNumberingAfterBreak="0">
    <w:nsid w:val="16544F39"/>
    <w:multiLevelType w:val="hybridMultilevel"/>
    <w:tmpl w:val="76864C8A"/>
    <w:lvl w:ilvl="0" w:tplc="46EE870E">
      <w:start w:val="1"/>
      <w:numFmt w:val="bullet"/>
      <w:lvlText w:val="-"/>
      <w:lvlJc w:val="left"/>
      <w:pPr>
        <w:ind w:left="1068" w:hanging="360"/>
      </w:pPr>
      <w:rPr>
        <w:rFonts w:ascii="Calibri" w:eastAsiaTheme="minorHAnsi" w:hAnsi="Calibri" w:cstheme="minorBid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4" w15:restartNumberingAfterBreak="0">
    <w:nsid w:val="200F0A8C"/>
    <w:multiLevelType w:val="hybridMultilevel"/>
    <w:tmpl w:val="B4687750"/>
    <w:lvl w:ilvl="0" w:tplc="46EE870E">
      <w:start w:val="1"/>
      <w:numFmt w:val="bullet"/>
      <w:lvlText w:val="-"/>
      <w:lvlJc w:val="left"/>
      <w:pPr>
        <w:ind w:left="1428" w:hanging="360"/>
      </w:pPr>
      <w:rPr>
        <w:rFonts w:ascii="Calibri" w:eastAsiaTheme="minorHAnsi" w:hAnsi="Calibri" w:cstheme="minorBidi"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5" w15:restartNumberingAfterBreak="0">
    <w:nsid w:val="2D072372"/>
    <w:multiLevelType w:val="hybridMultilevel"/>
    <w:tmpl w:val="94FE8146"/>
    <w:lvl w:ilvl="0" w:tplc="BD1EBED0">
      <w:start w:val="1"/>
      <w:numFmt w:val="decimal"/>
      <w:lvlText w:val="%1."/>
      <w:lvlJc w:val="left"/>
      <w:pPr>
        <w:tabs>
          <w:tab w:val="num" w:pos="720"/>
        </w:tabs>
        <w:ind w:left="720" w:hanging="360"/>
      </w:pPr>
      <w:rPr>
        <w:rFonts w:hint="default"/>
      </w:rPr>
    </w:lvl>
    <w:lvl w:ilvl="1" w:tplc="C20CDFDA" w:tentative="1">
      <w:start w:val="1"/>
      <w:numFmt w:val="lowerLetter"/>
      <w:lvlText w:val="%2."/>
      <w:lvlJc w:val="left"/>
      <w:pPr>
        <w:tabs>
          <w:tab w:val="num" w:pos="1440"/>
        </w:tabs>
        <w:ind w:left="1440" w:hanging="360"/>
      </w:pPr>
    </w:lvl>
    <w:lvl w:ilvl="2" w:tplc="414A0952" w:tentative="1">
      <w:start w:val="1"/>
      <w:numFmt w:val="lowerRoman"/>
      <w:lvlText w:val="%3."/>
      <w:lvlJc w:val="right"/>
      <w:pPr>
        <w:tabs>
          <w:tab w:val="num" w:pos="2160"/>
        </w:tabs>
        <w:ind w:left="2160" w:hanging="180"/>
      </w:pPr>
    </w:lvl>
    <w:lvl w:ilvl="3" w:tplc="1278DA6A" w:tentative="1">
      <w:start w:val="1"/>
      <w:numFmt w:val="decimal"/>
      <w:lvlText w:val="%4."/>
      <w:lvlJc w:val="left"/>
      <w:pPr>
        <w:tabs>
          <w:tab w:val="num" w:pos="2880"/>
        </w:tabs>
        <w:ind w:left="2880" w:hanging="360"/>
      </w:pPr>
    </w:lvl>
    <w:lvl w:ilvl="4" w:tplc="90AC803A" w:tentative="1">
      <w:start w:val="1"/>
      <w:numFmt w:val="lowerLetter"/>
      <w:lvlText w:val="%5."/>
      <w:lvlJc w:val="left"/>
      <w:pPr>
        <w:tabs>
          <w:tab w:val="num" w:pos="3600"/>
        </w:tabs>
        <w:ind w:left="3600" w:hanging="360"/>
      </w:pPr>
    </w:lvl>
    <w:lvl w:ilvl="5" w:tplc="9536A81A" w:tentative="1">
      <w:start w:val="1"/>
      <w:numFmt w:val="lowerRoman"/>
      <w:lvlText w:val="%6."/>
      <w:lvlJc w:val="right"/>
      <w:pPr>
        <w:tabs>
          <w:tab w:val="num" w:pos="4320"/>
        </w:tabs>
        <w:ind w:left="4320" w:hanging="180"/>
      </w:pPr>
    </w:lvl>
    <w:lvl w:ilvl="6" w:tplc="A2A05C32" w:tentative="1">
      <w:start w:val="1"/>
      <w:numFmt w:val="decimal"/>
      <w:lvlText w:val="%7."/>
      <w:lvlJc w:val="left"/>
      <w:pPr>
        <w:tabs>
          <w:tab w:val="num" w:pos="5040"/>
        </w:tabs>
        <w:ind w:left="5040" w:hanging="360"/>
      </w:pPr>
    </w:lvl>
    <w:lvl w:ilvl="7" w:tplc="74F68924" w:tentative="1">
      <w:start w:val="1"/>
      <w:numFmt w:val="lowerLetter"/>
      <w:lvlText w:val="%8."/>
      <w:lvlJc w:val="left"/>
      <w:pPr>
        <w:tabs>
          <w:tab w:val="num" w:pos="5760"/>
        </w:tabs>
        <w:ind w:left="5760" w:hanging="360"/>
      </w:pPr>
    </w:lvl>
    <w:lvl w:ilvl="8" w:tplc="CA744098" w:tentative="1">
      <w:start w:val="1"/>
      <w:numFmt w:val="lowerRoman"/>
      <w:lvlText w:val="%9."/>
      <w:lvlJc w:val="right"/>
      <w:pPr>
        <w:tabs>
          <w:tab w:val="num" w:pos="6480"/>
        </w:tabs>
        <w:ind w:left="6480" w:hanging="180"/>
      </w:pPr>
    </w:lvl>
  </w:abstractNum>
  <w:abstractNum w:abstractNumId="6" w15:restartNumberingAfterBreak="0">
    <w:nsid w:val="35096285"/>
    <w:multiLevelType w:val="hybridMultilevel"/>
    <w:tmpl w:val="98A6B078"/>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39535451"/>
    <w:multiLevelType w:val="hybridMultilevel"/>
    <w:tmpl w:val="EEE2F03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E4BA420E">
      <w:start w:val="1"/>
      <w:numFmt w:val="decimal"/>
      <w:lvlText w:val="%1."/>
      <w:lvlJc w:val="left"/>
      <w:pPr>
        <w:tabs>
          <w:tab w:val="num" w:pos="720"/>
        </w:tabs>
        <w:ind w:left="720" w:hanging="360"/>
      </w:pPr>
    </w:lvl>
    <w:lvl w:ilvl="1" w:tplc="7B5E5EEC" w:tentative="1">
      <w:start w:val="1"/>
      <w:numFmt w:val="lowerLetter"/>
      <w:lvlText w:val="%2."/>
      <w:lvlJc w:val="left"/>
      <w:pPr>
        <w:tabs>
          <w:tab w:val="num" w:pos="1440"/>
        </w:tabs>
        <w:ind w:left="1440" w:hanging="360"/>
      </w:pPr>
    </w:lvl>
    <w:lvl w:ilvl="2" w:tplc="F76A2854" w:tentative="1">
      <w:start w:val="1"/>
      <w:numFmt w:val="lowerRoman"/>
      <w:lvlText w:val="%3."/>
      <w:lvlJc w:val="right"/>
      <w:pPr>
        <w:tabs>
          <w:tab w:val="num" w:pos="2160"/>
        </w:tabs>
        <w:ind w:left="2160" w:hanging="180"/>
      </w:pPr>
    </w:lvl>
    <w:lvl w:ilvl="3" w:tplc="8766BC30" w:tentative="1">
      <w:start w:val="1"/>
      <w:numFmt w:val="decimal"/>
      <w:lvlText w:val="%4."/>
      <w:lvlJc w:val="left"/>
      <w:pPr>
        <w:tabs>
          <w:tab w:val="num" w:pos="2880"/>
        </w:tabs>
        <w:ind w:left="2880" w:hanging="360"/>
      </w:pPr>
    </w:lvl>
    <w:lvl w:ilvl="4" w:tplc="27FAF258" w:tentative="1">
      <w:start w:val="1"/>
      <w:numFmt w:val="lowerLetter"/>
      <w:lvlText w:val="%5."/>
      <w:lvlJc w:val="left"/>
      <w:pPr>
        <w:tabs>
          <w:tab w:val="num" w:pos="3600"/>
        </w:tabs>
        <w:ind w:left="3600" w:hanging="360"/>
      </w:pPr>
    </w:lvl>
    <w:lvl w:ilvl="5" w:tplc="C5C474DC" w:tentative="1">
      <w:start w:val="1"/>
      <w:numFmt w:val="lowerRoman"/>
      <w:lvlText w:val="%6."/>
      <w:lvlJc w:val="right"/>
      <w:pPr>
        <w:tabs>
          <w:tab w:val="num" w:pos="4320"/>
        </w:tabs>
        <w:ind w:left="4320" w:hanging="180"/>
      </w:pPr>
    </w:lvl>
    <w:lvl w:ilvl="6" w:tplc="B01CD40A" w:tentative="1">
      <w:start w:val="1"/>
      <w:numFmt w:val="decimal"/>
      <w:lvlText w:val="%7."/>
      <w:lvlJc w:val="left"/>
      <w:pPr>
        <w:tabs>
          <w:tab w:val="num" w:pos="5040"/>
        </w:tabs>
        <w:ind w:left="5040" w:hanging="360"/>
      </w:pPr>
    </w:lvl>
    <w:lvl w:ilvl="7" w:tplc="1CDA5384" w:tentative="1">
      <w:start w:val="1"/>
      <w:numFmt w:val="lowerLetter"/>
      <w:lvlText w:val="%8."/>
      <w:lvlJc w:val="left"/>
      <w:pPr>
        <w:tabs>
          <w:tab w:val="num" w:pos="5760"/>
        </w:tabs>
        <w:ind w:left="5760" w:hanging="360"/>
      </w:pPr>
    </w:lvl>
    <w:lvl w:ilvl="8" w:tplc="5B30A856" w:tentative="1">
      <w:start w:val="1"/>
      <w:numFmt w:val="lowerRoman"/>
      <w:lvlText w:val="%9."/>
      <w:lvlJc w:val="right"/>
      <w:pPr>
        <w:tabs>
          <w:tab w:val="num" w:pos="6480"/>
        </w:tabs>
        <w:ind w:left="6480" w:hanging="180"/>
      </w:pPr>
    </w:lvl>
  </w:abstractNum>
  <w:abstractNum w:abstractNumId="10" w15:restartNumberingAfterBreak="0">
    <w:nsid w:val="6EFA2E9F"/>
    <w:multiLevelType w:val="hybridMultilevel"/>
    <w:tmpl w:val="8AC05DC2"/>
    <w:lvl w:ilvl="0" w:tplc="BE8E02B6">
      <w:start w:val="1"/>
      <w:numFmt w:val="bullet"/>
      <w:lvlText w:val="­"/>
      <w:lvlJc w:val="left"/>
      <w:pPr>
        <w:ind w:left="1440" w:hanging="360"/>
      </w:pPr>
      <w:rPr>
        <w:rFonts w:ascii="Courier New" w:hAnsi="Courier New"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1" w15:restartNumberingAfterBreak="0">
    <w:nsid w:val="78FD55DE"/>
    <w:multiLevelType w:val="hybridMultilevel"/>
    <w:tmpl w:val="E632927E"/>
    <w:lvl w:ilvl="0" w:tplc="A16641BA">
      <w:start w:val="1"/>
      <w:numFmt w:val="bullet"/>
      <w:lvlText w:val=""/>
      <w:lvlJc w:val="left"/>
      <w:pPr>
        <w:ind w:left="720" w:hanging="360"/>
      </w:pPr>
      <w:rPr>
        <w:rFonts w:ascii="Symbol" w:hAnsi="Symbol" w:hint="default"/>
      </w:rPr>
    </w:lvl>
    <w:lvl w:ilvl="1" w:tplc="E16ED486" w:tentative="1">
      <w:start w:val="1"/>
      <w:numFmt w:val="bullet"/>
      <w:lvlText w:val="o"/>
      <w:lvlJc w:val="left"/>
      <w:pPr>
        <w:ind w:left="1440" w:hanging="360"/>
      </w:pPr>
      <w:rPr>
        <w:rFonts w:ascii="Courier New" w:hAnsi="Courier New" w:cs="Courier New" w:hint="default"/>
      </w:rPr>
    </w:lvl>
    <w:lvl w:ilvl="2" w:tplc="CB527D0E" w:tentative="1">
      <w:start w:val="1"/>
      <w:numFmt w:val="bullet"/>
      <w:lvlText w:val=""/>
      <w:lvlJc w:val="left"/>
      <w:pPr>
        <w:ind w:left="2160" w:hanging="360"/>
      </w:pPr>
      <w:rPr>
        <w:rFonts w:ascii="Wingdings" w:hAnsi="Wingdings" w:hint="default"/>
      </w:rPr>
    </w:lvl>
    <w:lvl w:ilvl="3" w:tplc="0E58A6A4" w:tentative="1">
      <w:start w:val="1"/>
      <w:numFmt w:val="bullet"/>
      <w:lvlText w:val=""/>
      <w:lvlJc w:val="left"/>
      <w:pPr>
        <w:ind w:left="2880" w:hanging="360"/>
      </w:pPr>
      <w:rPr>
        <w:rFonts w:ascii="Symbol" w:hAnsi="Symbol" w:hint="default"/>
      </w:rPr>
    </w:lvl>
    <w:lvl w:ilvl="4" w:tplc="6E46FD40" w:tentative="1">
      <w:start w:val="1"/>
      <w:numFmt w:val="bullet"/>
      <w:lvlText w:val="o"/>
      <w:lvlJc w:val="left"/>
      <w:pPr>
        <w:ind w:left="3600" w:hanging="360"/>
      </w:pPr>
      <w:rPr>
        <w:rFonts w:ascii="Courier New" w:hAnsi="Courier New" w:cs="Courier New" w:hint="default"/>
      </w:rPr>
    </w:lvl>
    <w:lvl w:ilvl="5" w:tplc="19E26170" w:tentative="1">
      <w:start w:val="1"/>
      <w:numFmt w:val="bullet"/>
      <w:lvlText w:val=""/>
      <w:lvlJc w:val="left"/>
      <w:pPr>
        <w:ind w:left="4320" w:hanging="360"/>
      </w:pPr>
      <w:rPr>
        <w:rFonts w:ascii="Wingdings" w:hAnsi="Wingdings" w:hint="default"/>
      </w:rPr>
    </w:lvl>
    <w:lvl w:ilvl="6" w:tplc="5BD69E00" w:tentative="1">
      <w:start w:val="1"/>
      <w:numFmt w:val="bullet"/>
      <w:lvlText w:val=""/>
      <w:lvlJc w:val="left"/>
      <w:pPr>
        <w:ind w:left="5040" w:hanging="360"/>
      </w:pPr>
      <w:rPr>
        <w:rFonts w:ascii="Symbol" w:hAnsi="Symbol" w:hint="default"/>
      </w:rPr>
    </w:lvl>
    <w:lvl w:ilvl="7" w:tplc="0400C992" w:tentative="1">
      <w:start w:val="1"/>
      <w:numFmt w:val="bullet"/>
      <w:lvlText w:val="o"/>
      <w:lvlJc w:val="left"/>
      <w:pPr>
        <w:ind w:left="5760" w:hanging="360"/>
      </w:pPr>
      <w:rPr>
        <w:rFonts w:ascii="Courier New" w:hAnsi="Courier New" w:cs="Courier New" w:hint="default"/>
      </w:rPr>
    </w:lvl>
    <w:lvl w:ilvl="8" w:tplc="6A408C76" w:tentative="1">
      <w:start w:val="1"/>
      <w:numFmt w:val="bullet"/>
      <w:lvlText w:val=""/>
      <w:lvlJc w:val="left"/>
      <w:pPr>
        <w:ind w:left="6480" w:hanging="360"/>
      </w:pPr>
      <w:rPr>
        <w:rFonts w:ascii="Wingdings" w:hAnsi="Wingdings" w:hint="default"/>
      </w:rPr>
    </w:lvl>
  </w:abstractNum>
  <w:abstractNum w:abstractNumId="12" w15:restartNumberingAfterBreak="0">
    <w:nsid w:val="7E013985"/>
    <w:multiLevelType w:val="hybridMultilevel"/>
    <w:tmpl w:val="6DE8F908"/>
    <w:lvl w:ilvl="0" w:tplc="57E0B89A">
      <w:numFmt w:val="bullet"/>
      <w:lvlText w:val="-"/>
      <w:lvlJc w:val="left"/>
      <w:pPr>
        <w:ind w:left="785" w:hanging="425"/>
      </w:pPr>
      <w:rPr>
        <w:rFonts w:ascii="Arial" w:eastAsia="Times New Roman" w:hAnsi="Arial" w:cs="Arial" w:hint="default"/>
      </w:rPr>
    </w:lvl>
    <w:lvl w:ilvl="1" w:tplc="94502A90" w:tentative="1">
      <w:start w:val="1"/>
      <w:numFmt w:val="bullet"/>
      <w:lvlText w:val="o"/>
      <w:lvlJc w:val="left"/>
      <w:pPr>
        <w:ind w:left="1440" w:hanging="360"/>
      </w:pPr>
      <w:rPr>
        <w:rFonts w:ascii="Courier New" w:hAnsi="Courier New" w:cs="Courier New" w:hint="default"/>
      </w:rPr>
    </w:lvl>
    <w:lvl w:ilvl="2" w:tplc="402084F4" w:tentative="1">
      <w:start w:val="1"/>
      <w:numFmt w:val="bullet"/>
      <w:lvlText w:val=""/>
      <w:lvlJc w:val="left"/>
      <w:pPr>
        <w:ind w:left="2160" w:hanging="360"/>
      </w:pPr>
      <w:rPr>
        <w:rFonts w:ascii="Wingdings" w:hAnsi="Wingdings" w:hint="default"/>
      </w:rPr>
    </w:lvl>
    <w:lvl w:ilvl="3" w:tplc="10169F0E" w:tentative="1">
      <w:start w:val="1"/>
      <w:numFmt w:val="bullet"/>
      <w:lvlText w:val=""/>
      <w:lvlJc w:val="left"/>
      <w:pPr>
        <w:ind w:left="2880" w:hanging="360"/>
      </w:pPr>
      <w:rPr>
        <w:rFonts w:ascii="Symbol" w:hAnsi="Symbol" w:hint="default"/>
      </w:rPr>
    </w:lvl>
    <w:lvl w:ilvl="4" w:tplc="70D4F44C" w:tentative="1">
      <w:start w:val="1"/>
      <w:numFmt w:val="bullet"/>
      <w:lvlText w:val="o"/>
      <w:lvlJc w:val="left"/>
      <w:pPr>
        <w:ind w:left="3600" w:hanging="360"/>
      </w:pPr>
      <w:rPr>
        <w:rFonts w:ascii="Courier New" w:hAnsi="Courier New" w:cs="Courier New" w:hint="default"/>
      </w:rPr>
    </w:lvl>
    <w:lvl w:ilvl="5" w:tplc="94BA3A1E" w:tentative="1">
      <w:start w:val="1"/>
      <w:numFmt w:val="bullet"/>
      <w:lvlText w:val=""/>
      <w:lvlJc w:val="left"/>
      <w:pPr>
        <w:ind w:left="4320" w:hanging="360"/>
      </w:pPr>
      <w:rPr>
        <w:rFonts w:ascii="Wingdings" w:hAnsi="Wingdings" w:hint="default"/>
      </w:rPr>
    </w:lvl>
    <w:lvl w:ilvl="6" w:tplc="0E9480CE" w:tentative="1">
      <w:start w:val="1"/>
      <w:numFmt w:val="bullet"/>
      <w:lvlText w:val=""/>
      <w:lvlJc w:val="left"/>
      <w:pPr>
        <w:ind w:left="5040" w:hanging="360"/>
      </w:pPr>
      <w:rPr>
        <w:rFonts w:ascii="Symbol" w:hAnsi="Symbol" w:hint="default"/>
      </w:rPr>
    </w:lvl>
    <w:lvl w:ilvl="7" w:tplc="E29E6B52" w:tentative="1">
      <w:start w:val="1"/>
      <w:numFmt w:val="bullet"/>
      <w:lvlText w:val="o"/>
      <w:lvlJc w:val="left"/>
      <w:pPr>
        <w:ind w:left="5760" w:hanging="360"/>
      </w:pPr>
      <w:rPr>
        <w:rFonts w:ascii="Courier New" w:hAnsi="Courier New" w:cs="Courier New" w:hint="default"/>
      </w:rPr>
    </w:lvl>
    <w:lvl w:ilvl="8" w:tplc="811A2100"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1"/>
  </w:num>
  <w:num w:numId="6">
    <w:abstractNumId w:val="2"/>
  </w:num>
  <w:num w:numId="7">
    <w:abstractNumId w:val="12"/>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17594"/>
    <w:rsid w:val="000206AE"/>
    <w:rsid w:val="00023A88"/>
    <w:rsid w:val="000636E1"/>
    <w:rsid w:val="0008352D"/>
    <w:rsid w:val="000A07CE"/>
    <w:rsid w:val="000A2C92"/>
    <w:rsid w:val="000A7238"/>
    <w:rsid w:val="000B0B21"/>
    <w:rsid w:val="000D08A9"/>
    <w:rsid w:val="000F3A88"/>
    <w:rsid w:val="000F3D38"/>
    <w:rsid w:val="00110CBD"/>
    <w:rsid w:val="001357B2"/>
    <w:rsid w:val="00151388"/>
    <w:rsid w:val="00151872"/>
    <w:rsid w:val="00160E5F"/>
    <w:rsid w:val="001A3BA5"/>
    <w:rsid w:val="001F3B21"/>
    <w:rsid w:val="001F7BC0"/>
    <w:rsid w:val="00202A77"/>
    <w:rsid w:val="00230AA8"/>
    <w:rsid w:val="00232E47"/>
    <w:rsid w:val="002411D8"/>
    <w:rsid w:val="00253798"/>
    <w:rsid w:val="00261D99"/>
    <w:rsid w:val="00262960"/>
    <w:rsid w:val="00271CE5"/>
    <w:rsid w:val="00282020"/>
    <w:rsid w:val="00285890"/>
    <w:rsid w:val="002934F1"/>
    <w:rsid w:val="00296D93"/>
    <w:rsid w:val="002A4B44"/>
    <w:rsid w:val="002C0F39"/>
    <w:rsid w:val="002C7EEB"/>
    <w:rsid w:val="00304726"/>
    <w:rsid w:val="00315D82"/>
    <w:rsid w:val="00346536"/>
    <w:rsid w:val="00352109"/>
    <w:rsid w:val="003636BF"/>
    <w:rsid w:val="00370AA7"/>
    <w:rsid w:val="00371034"/>
    <w:rsid w:val="0037479F"/>
    <w:rsid w:val="00377950"/>
    <w:rsid w:val="003845B4"/>
    <w:rsid w:val="00387B1A"/>
    <w:rsid w:val="00394F36"/>
    <w:rsid w:val="003B5CF4"/>
    <w:rsid w:val="003C3B1D"/>
    <w:rsid w:val="003D0306"/>
    <w:rsid w:val="003E1C74"/>
    <w:rsid w:val="003E7E9E"/>
    <w:rsid w:val="003F4966"/>
    <w:rsid w:val="00484A06"/>
    <w:rsid w:val="004A2490"/>
    <w:rsid w:val="004A4233"/>
    <w:rsid w:val="004A6A59"/>
    <w:rsid w:val="004B160E"/>
    <w:rsid w:val="004D294C"/>
    <w:rsid w:val="005149DF"/>
    <w:rsid w:val="00525C18"/>
    <w:rsid w:val="00526246"/>
    <w:rsid w:val="00567106"/>
    <w:rsid w:val="005709F2"/>
    <w:rsid w:val="005916E5"/>
    <w:rsid w:val="005B0438"/>
    <w:rsid w:val="005C538C"/>
    <w:rsid w:val="005E1D3C"/>
    <w:rsid w:val="006268BE"/>
    <w:rsid w:val="00632253"/>
    <w:rsid w:val="00642714"/>
    <w:rsid w:val="00643C4E"/>
    <w:rsid w:val="006455CE"/>
    <w:rsid w:val="006D42D9"/>
    <w:rsid w:val="006F142E"/>
    <w:rsid w:val="00726463"/>
    <w:rsid w:val="00733017"/>
    <w:rsid w:val="00751D38"/>
    <w:rsid w:val="00751E49"/>
    <w:rsid w:val="00775FED"/>
    <w:rsid w:val="00783310"/>
    <w:rsid w:val="00794E63"/>
    <w:rsid w:val="007A4A6D"/>
    <w:rsid w:val="007D1BCF"/>
    <w:rsid w:val="007D75CF"/>
    <w:rsid w:val="007E6DC5"/>
    <w:rsid w:val="008302A0"/>
    <w:rsid w:val="00833C25"/>
    <w:rsid w:val="008547AC"/>
    <w:rsid w:val="00873B7D"/>
    <w:rsid w:val="0088043C"/>
    <w:rsid w:val="008906C9"/>
    <w:rsid w:val="008A40D1"/>
    <w:rsid w:val="008A5918"/>
    <w:rsid w:val="008B2E72"/>
    <w:rsid w:val="008C00F2"/>
    <w:rsid w:val="008C5738"/>
    <w:rsid w:val="008D04F0"/>
    <w:rsid w:val="008F3500"/>
    <w:rsid w:val="009022B3"/>
    <w:rsid w:val="00902B19"/>
    <w:rsid w:val="00924E3C"/>
    <w:rsid w:val="00925A8B"/>
    <w:rsid w:val="009612BB"/>
    <w:rsid w:val="00980FFA"/>
    <w:rsid w:val="009B0295"/>
    <w:rsid w:val="009C5340"/>
    <w:rsid w:val="009E42F2"/>
    <w:rsid w:val="00A05DC7"/>
    <w:rsid w:val="00A125C5"/>
    <w:rsid w:val="00A12D5C"/>
    <w:rsid w:val="00A216AF"/>
    <w:rsid w:val="00A23BD1"/>
    <w:rsid w:val="00A3267F"/>
    <w:rsid w:val="00A36906"/>
    <w:rsid w:val="00A45EAF"/>
    <w:rsid w:val="00A5039D"/>
    <w:rsid w:val="00A65EE7"/>
    <w:rsid w:val="00A70133"/>
    <w:rsid w:val="00A72510"/>
    <w:rsid w:val="00A8325D"/>
    <w:rsid w:val="00A92004"/>
    <w:rsid w:val="00AA47FE"/>
    <w:rsid w:val="00AA73D8"/>
    <w:rsid w:val="00AC5C16"/>
    <w:rsid w:val="00AD5A5B"/>
    <w:rsid w:val="00AE1792"/>
    <w:rsid w:val="00B011EA"/>
    <w:rsid w:val="00B04909"/>
    <w:rsid w:val="00B17141"/>
    <w:rsid w:val="00B31575"/>
    <w:rsid w:val="00B45563"/>
    <w:rsid w:val="00B63BD4"/>
    <w:rsid w:val="00B677B6"/>
    <w:rsid w:val="00B8547D"/>
    <w:rsid w:val="00BC2517"/>
    <w:rsid w:val="00BC61EF"/>
    <w:rsid w:val="00BE423F"/>
    <w:rsid w:val="00C250D5"/>
    <w:rsid w:val="00C47F8D"/>
    <w:rsid w:val="00C52DAE"/>
    <w:rsid w:val="00C57EED"/>
    <w:rsid w:val="00C72FC2"/>
    <w:rsid w:val="00C81391"/>
    <w:rsid w:val="00C92898"/>
    <w:rsid w:val="00C97222"/>
    <w:rsid w:val="00CC7BC5"/>
    <w:rsid w:val="00CE7514"/>
    <w:rsid w:val="00D145F7"/>
    <w:rsid w:val="00D248DE"/>
    <w:rsid w:val="00D25427"/>
    <w:rsid w:val="00D31B74"/>
    <w:rsid w:val="00D3564D"/>
    <w:rsid w:val="00D8542D"/>
    <w:rsid w:val="00DB11E1"/>
    <w:rsid w:val="00DC62F6"/>
    <w:rsid w:val="00DC6A71"/>
    <w:rsid w:val="00DD6CC3"/>
    <w:rsid w:val="00DE5B46"/>
    <w:rsid w:val="00E0357D"/>
    <w:rsid w:val="00E24EC2"/>
    <w:rsid w:val="00E43E32"/>
    <w:rsid w:val="00E51C0F"/>
    <w:rsid w:val="00E8201C"/>
    <w:rsid w:val="00EB1EF4"/>
    <w:rsid w:val="00ED00D1"/>
    <w:rsid w:val="00ED323E"/>
    <w:rsid w:val="00ED7E82"/>
    <w:rsid w:val="00EF3280"/>
    <w:rsid w:val="00F0025B"/>
    <w:rsid w:val="00F02E53"/>
    <w:rsid w:val="00F240BB"/>
    <w:rsid w:val="00F42CE8"/>
    <w:rsid w:val="00F46724"/>
    <w:rsid w:val="00F47F58"/>
    <w:rsid w:val="00F57FED"/>
    <w:rsid w:val="00F71C72"/>
    <w:rsid w:val="00FE6E11"/>
    <w:rsid w:val="00FF06C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
    <w:semiHidden/>
    <w:unhideWhenUsed/>
    <w:qFormat/>
    <w:rsid w:val="004D294C"/>
    <w:pPr>
      <w:keepNext/>
      <w:keepLines/>
      <w:spacing w:before="40"/>
      <w:jc w:val="both"/>
      <w:outlineLvl w:val="1"/>
    </w:pPr>
    <w:rPr>
      <w:rFonts w:asciiTheme="majorHAnsi" w:eastAsiaTheme="majorEastAsia" w:hAnsiTheme="majorHAnsi" w:cstheme="majorBidi"/>
      <w:color w:val="365F91" w:themeColor="accent1" w:themeShade="BF"/>
      <w:sz w:val="26"/>
      <w:szCs w:val="26"/>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customStyle="1" w:styleId="zamaknjenadolobaprvinivo1">
    <w:name w:val="zamaknjenadolobaprvinivo1"/>
    <w:basedOn w:val="Navaden"/>
    <w:rsid w:val="008302A0"/>
    <w:pPr>
      <w:spacing w:line="240" w:lineRule="auto"/>
      <w:jc w:val="both"/>
    </w:pPr>
    <w:rPr>
      <w:rFonts w:cs="Arial"/>
      <w:sz w:val="22"/>
      <w:szCs w:val="22"/>
      <w:lang w:val="sl-SI" w:eastAsia="sl-SI"/>
    </w:rPr>
  </w:style>
  <w:style w:type="paragraph" w:styleId="Odstavekseznama">
    <w:name w:val="List Paragraph"/>
    <w:basedOn w:val="Navaden"/>
    <w:uiPriority w:val="34"/>
    <w:qFormat/>
    <w:rsid w:val="008302A0"/>
    <w:pPr>
      <w:ind w:left="720"/>
      <w:contextualSpacing/>
    </w:pPr>
  </w:style>
  <w:style w:type="paragraph" w:styleId="Revizija">
    <w:name w:val="Revision"/>
    <w:hidden/>
    <w:uiPriority w:val="99"/>
    <w:semiHidden/>
    <w:rsid w:val="00C72FC2"/>
    <w:rPr>
      <w:rFonts w:ascii="Arial" w:hAnsi="Arial"/>
      <w:szCs w:val="24"/>
      <w:lang w:val="en-US" w:eastAsia="en-US"/>
    </w:rPr>
  </w:style>
  <w:style w:type="character" w:customStyle="1" w:styleId="Naslov2Znak">
    <w:name w:val="Naslov 2 Znak"/>
    <w:basedOn w:val="Privzetapisavaodstavka"/>
    <w:link w:val="Naslov2"/>
    <w:uiPriority w:val="9"/>
    <w:semiHidden/>
    <w:rsid w:val="004D294C"/>
    <w:rPr>
      <w:rFonts w:asciiTheme="majorHAnsi" w:eastAsiaTheme="majorEastAsia" w:hAnsiTheme="majorHAnsi" w:cstheme="majorBidi"/>
      <w:color w:val="365F91" w:themeColor="accent1" w:themeShade="BF"/>
      <w:sz w:val="26"/>
      <w:szCs w:val="26"/>
      <w:lang w:eastAsia="en-US"/>
    </w:rPr>
  </w:style>
  <w:style w:type="table" w:styleId="Tabelamrea">
    <w:name w:val="Table Grid"/>
    <w:basedOn w:val="Navadnatabela"/>
    <w:uiPriority w:val="39"/>
    <w:rsid w:val="004D294C"/>
    <w:pPr>
      <w:jc w:val="both"/>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33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_pdf/2022/Ur/u202203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3DA44-C798-4B47-8245-9B58360B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1</TotalTime>
  <Pages>3</Pages>
  <Words>1281</Words>
  <Characters>7302</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Luzar</dc:creator>
  <cp:lastModifiedBy>Erika Luzar</cp:lastModifiedBy>
  <cp:revision>2</cp:revision>
  <cp:lastPrinted>2010-07-05T10:38:00Z</cp:lastPrinted>
  <dcterms:created xsi:type="dcterms:W3CDTF">2022-03-22T08:17:00Z</dcterms:created>
  <dcterms:modified xsi:type="dcterms:W3CDTF">2022-03-22T08:17:00Z</dcterms:modified>
</cp:coreProperties>
</file>