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B92" w14:textId="77777777" w:rsidR="00557704" w:rsidRPr="00FA1FE1" w:rsidRDefault="00557704" w:rsidP="00557704">
      <w:pPr>
        <w:spacing w:line="240" w:lineRule="exact"/>
        <w:jc w:val="both"/>
        <w:rPr>
          <w:rFonts w:cs="Arial"/>
          <w:b/>
          <w:color w:val="000000"/>
          <w:szCs w:val="20"/>
          <w:lang w:val="sl-SI"/>
        </w:rPr>
      </w:pPr>
      <w:r w:rsidRPr="00FA1FE1">
        <w:rPr>
          <w:rFonts w:cs="Arial"/>
          <w:b/>
          <w:bCs/>
          <w:color w:val="000000" w:themeColor="text1"/>
          <w:szCs w:val="20"/>
          <w:lang w:val="sl-SI"/>
        </w:rPr>
        <w:t>URAD PREDSEDNIKA REPUBLIKE</w:t>
      </w:r>
    </w:p>
    <w:p w14:paraId="0C5194AA"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DRŽAVNI ZBOR REPUBLIKE SLOVENIJE</w:t>
      </w:r>
    </w:p>
    <w:p w14:paraId="30C104B7"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DRŽAVNI SVET REPUBLIKE SLOVENIJE</w:t>
      </w:r>
    </w:p>
    <w:p w14:paraId="77DEBAD7"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USTAVNO SODIŠČE REPUBLIKE SLOVENIJE</w:t>
      </w:r>
    </w:p>
    <w:p w14:paraId="36B2CC8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RAČUNSKO SODIŠČE REPUBLIKE SLOVENIJE</w:t>
      </w:r>
    </w:p>
    <w:p w14:paraId="045E4692"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VARUH ČLOVEKOVIH PRAVIC REPUBLIKE SLOVENIJE</w:t>
      </w:r>
    </w:p>
    <w:p w14:paraId="2FC6007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DRŽAVNA REVIZIJSKA KOMISIJA REPUBLIKE SLOVENIJE</w:t>
      </w:r>
    </w:p>
    <w:p w14:paraId="5A0DB71E" w14:textId="77777777" w:rsidR="00557704" w:rsidRPr="00FA1FE1" w:rsidRDefault="00557704" w:rsidP="00557704">
      <w:pPr>
        <w:spacing w:line="240" w:lineRule="exact"/>
        <w:jc w:val="both"/>
        <w:rPr>
          <w:rFonts w:cs="Arial"/>
          <w:b/>
          <w:color w:val="000000"/>
          <w:szCs w:val="20"/>
          <w:lang w:val="sl-SI"/>
        </w:rPr>
      </w:pPr>
      <w:r w:rsidRPr="00FA1FE1">
        <w:rPr>
          <w:rFonts w:cs="Arial"/>
          <w:b/>
          <w:color w:val="000000"/>
          <w:szCs w:val="20"/>
          <w:lang w:val="sl-SI"/>
        </w:rPr>
        <w:t>INFORMACIJSKI POOBLAŠČENEC REPUBLIKE SLOVENIJE</w:t>
      </w:r>
    </w:p>
    <w:p w14:paraId="5B36CF7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KOMISIJA ZA PREPREČEVANJE KORUPCIJE REPUBLIKE SLOVENIJE</w:t>
      </w:r>
    </w:p>
    <w:p w14:paraId="60C1F2B4"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DRŽAVNA VOLILNA KOMISIJA</w:t>
      </w:r>
    </w:p>
    <w:p w14:paraId="0B88C181"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FISKALNI SVET</w:t>
      </w:r>
    </w:p>
    <w:p w14:paraId="18742ABD"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SODNI SVET</w:t>
      </w:r>
    </w:p>
    <w:p w14:paraId="3B9842F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ZAGOVORNIK NAČELA ENAKOSTI</w:t>
      </w:r>
    </w:p>
    <w:p w14:paraId="5B4DE14F" w14:textId="77777777" w:rsidR="00557704" w:rsidRPr="00FA1FE1" w:rsidRDefault="00557704" w:rsidP="00557704">
      <w:pPr>
        <w:spacing w:line="240" w:lineRule="exact"/>
        <w:jc w:val="both"/>
        <w:rPr>
          <w:rFonts w:cs="Arial"/>
          <w:b/>
          <w:szCs w:val="20"/>
          <w:lang w:val="sl-SI"/>
        </w:rPr>
      </w:pPr>
    </w:p>
    <w:p w14:paraId="55C97CE6"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VRHOVNO SODIŠČE REPUBLIKE SLOVENIJE</w:t>
      </w:r>
    </w:p>
    <w:p w14:paraId="2DC95E4B"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VRHOVNO DRŽAVNO TOŽILSTVO</w:t>
      </w:r>
    </w:p>
    <w:p w14:paraId="21333BD0"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DRŽAVNO ODVETNIŠTVO</w:t>
      </w:r>
    </w:p>
    <w:p w14:paraId="458A68DD" w14:textId="77777777" w:rsidR="00557704" w:rsidRPr="00FA1FE1" w:rsidRDefault="00557704" w:rsidP="00557704">
      <w:pPr>
        <w:spacing w:line="240" w:lineRule="exact"/>
        <w:jc w:val="both"/>
        <w:rPr>
          <w:rFonts w:cs="Arial"/>
          <w:b/>
          <w:szCs w:val="20"/>
          <w:lang w:val="sl-SI"/>
        </w:rPr>
      </w:pPr>
    </w:p>
    <w:p w14:paraId="69E5B901"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OBČINE</w:t>
      </w:r>
    </w:p>
    <w:p w14:paraId="2CF74996"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ZDRUŽENJE OBČIN SLOVENIJE</w:t>
      </w:r>
    </w:p>
    <w:p w14:paraId="25CEBA63"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SKUPNOST OBČIN SLOVENIJE</w:t>
      </w:r>
    </w:p>
    <w:p w14:paraId="06D138F7"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ZDRUŽENJE MESTNIH OBČIN SLOVENIJE</w:t>
      </w:r>
    </w:p>
    <w:p w14:paraId="23831CC5" w14:textId="77777777" w:rsidR="00557704" w:rsidRPr="00FA1FE1" w:rsidRDefault="00557704" w:rsidP="00557704">
      <w:pPr>
        <w:spacing w:line="240" w:lineRule="exact"/>
        <w:jc w:val="both"/>
        <w:rPr>
          <w:rFonts w:cs="Arial"/>
          <w:b/>
          <w:szCs w:val="20"/>
          <w:lang w:val="sl-SI"/>
        </w:rPr>
      </w:pPr>
    </w:p>
    <w:p w14:paraId="77F37E84"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MINISTRSTVA</w:t>
      </w:r>
    </w:p>
    <w:p w14:paraId="53497CB2"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ORGANI V SESTAVI MINISTRSTEV</w:t>
      </w:r>
    </w:p>
    <w:p w14:paraId="4541A47C"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VLADNE SLUŽBE</w:t>
      </w:r>
    </w:p>
    <w:p w14:paraId="02501180" w14:textId="77777777" w:rsidR="00557704" w:rsidRPr="00FA1FE1" w:rsidRDefault="00557704" w:rsidP="00557704">
      <w:pPr>
        <w:spacing w:line="240" w:lineRule="exact"/>
        <w:jc w:val="both"/>
        <w:rPr>
          <w:rFonts w:cs="Arial"/>
          <w:b/>
          <w:szCs w:val="20"/>
          <w:lang w:val="sl-SI"/>
        </w:rPr>
      </w:pPr>
      <w:r w:rsidRPr="00FA1FE1">
        <w:rPr>
          <w:rFonts w:cs="Arial"/>
          <w:b/>
          <w:szCs w:val="20"/>
          <w:lang w:val="sl-SI"/>
        </w:rPr>
        <w:t>UPRAVNE ENOTE</w:t>
      </w:r>
    </w:p>
    <w:p w14:paraId="54BC16EB" w14:textId="77777777" w:rsidR="00557704" w:rsidRPr="00FA1FE1" w:rsidRDefault="00557704" w:rsidP="00557704">
      <w:pPr>
        <w:pStyle w:val="datumtevilka"/>
        <w:spacing w:line="240" w:lineRule="exact"/>
        <w:rPr>
          <w:rFonts w:cs="Arial"/>
        </w:rPr>
      </w:pPr>
    </w:p>
    <w:p w14:paraId="4EC810C9" w14:textId="77777777" w:rsidR="00557704" w:rsidRPr="00FA1FE1" w:rsidRDefault="00557704" w:rsidP="00557704">
      <w:pPr>
        <w:pStyle w:val="datumtevilka"/>
        <w:spacing w:line="240" w:lineRule="exact"/>
        <w:rPr>
          <w:rFonts w:cs="Arial"/>
        </w:rPr>
      </w:pPr>
    </w:p>
    <w:p w14:paraId="6C38D093" w14:textId="77777777" w:rsidR="00557704" w:rsidRPr="00FA1FE1" w:rsidRDefault="00557704" w:rsidP="00557704">
      <w:pPr>
        <w:pStyle w:val="datumtevilka"/>
        <w:spacing w:line="240" w:lineRule="exact"/>
        <w:rPr>
          <w:rFonts w:cs="Arial"/>
        </w:rPr>
      </w:pPr>
    </w:p>
    <w:p w14:paraId="5AA68446" w14:textId="4F1810DE" w:rsidR="00557704" w:rsidRPr="00FA1FE1" w:rsidRDefault="00557704" w:rsidP="00557704">
      <w:pPr>
        <w:pStyle w:val="datumtevilka"/>
        <w:spacing w:line="240" w:lineRule="exact"/>
        <w:rPr>
          <w:rFonts w:cs="Arial"/>
        </w:rPr>
      </w:pPr>
      <w:r w:rsidRPr="00FA1FE1">
        <w:rPr>
          <w:rFonts w:cs="Arial"/>
        </w:rPr>
        <w:t xml:space="preserve">Številka:  </w:t>
      </w:r>
      <w:r w:rsidR="00FA5E99">
        <w:t>0100-533/2022/1</w:t>
      </w:r>
    </w:p>
    <w:p w14:paraId="412D486C" w14:textId="100B2ADD" w:rsidR="00557704" w:rsidRPr="00FA1FE1" w:rsidRDefault="00557704" w:rsidP="00557704">
      <w:pPr>
        <w:pStyle w:val="datumtevilka"/>
        <w:spacing w:line="240" w:lineRule="exact"/>
        <w:rPr>
          <w:rFonts w:cs="Arial"/>
        </w:rPr>
      </w:pPr>
      <w:r w:rsidRPr="00FA1FE1">
        <w:rPr>
          <w:rFonts w:cs="Arial"/>
        </w:rPr>
        <w:t xml:space="preserve">Datum:    </w:t>
      </w:r>
      <w:r w:rsidR="001B7FF7">
        <w:rPr>
          <w:rFonts w:cs="Arial"/>
        </w:rPr>
        <w:t>28. 10. 2022</w:t>
      </w:r>
    </w:p>
    <w:p w14:paraId="01402CA8" w14:textId="77777777" w:rsidR="00557704" w:rsidRPr="00FA1FE1" w:rsidRDefault="00557704" w:rsidP="00557704">
      <w:pPr>
        <w:spacing w:line="240" w:lineRule="exact"/>
        <w:rPr>
          <w:rFonts w:cs="Arial"/>
          <w:szCs w:val="20"/>
          <w:lang w:val="sl-SI"/>
        </w:rPr>
      </w:pPr>
    </w:p>
    <w:p w14:paraId="15FDDF35" w14:textId="77777777" w:rsidR="00557704" w:rsidRPr="00FA1FE1" w:rsidRDefault="00557704" w:rsidP="00557704">
      <w:pPr>
        <w:spacing w:line="240" w:lineRule="exact"/>
        <w:rPr>
          <w:rFonts w:cs="Arial"/>
          <w:szCs w:val="20"/>
          <w:lang w:val="sl-SI"/>
        </w:rPr>
      </w:pPr>
    </w:p>
    <w:p w14:paraId="16D79883" w14:textId="46D97F9C" w:rsidR="00557704" w:rsidRPr="00FA1FE1" w:rsidRDefault="00557704" w:rsidP="0040388C">
      <w:pPr>
        <w:spacing w:line="240" w:lineRule="exact"/>
        <w:ind w:left="1416" w:hanging="1416"/>
        <w:jc w:val="both"/>
        <w:rPr>
          <w:rFonts w:cs="Arial"/>
          <w:b/>
          <w:bCs/>
          <w:szCs w:val="20"/>
          <w:lang w:val="sl-SI" w:eastAsia="sl-SI"/>
        </w:rPr>
      </w:pPr>
      <w:bookmarkStart w:id="0" w:name="_Hlk60740389"/>
      <w:r w:rsidRPr="00FA1FE1">
        <w:rPr>
          <w:rFonts w:cs="Arial"/>
          <w:b/>
          <w:bCs/>
          <w:szCs w:val="20"/>
          <w:lang w:val="sl-SI" w:eastAsia="sl-SI"/>
        </w:rPr>
        <w:t xml:space="preserve">Zadeva: </w:t>
      </w:r>
      <w:bookmarkStart w:id="1" w:name="_Hlk117845975"/>
      <w:r w:rsidR="0040388C">
        <w:rPr>
          <w:rFonts w:cs="Arial"/>
          <w:b/>
          <w:bCs/>
          <w:szCs w:val="20"/>
          <w:lang w:val="sl-SI" w:eastAsia="sl-SI"/>
        </w:rPr>
        <w:tab/>
      </w:r>
      <w:r w:rsidR="00947CD3" w:rsidRPr="00FA1FE1">
        <w:rPr>
          <w:rFonts w:cs="Arial"/>
          <w:b/>
          <w:bCs/>
          <w:szCs w:val="20"/>
          <w:lang w:val="sl-SI" w:eastAsia="sl-SI"/>
        </w:rPr>
        <w:t>Ukrepi na področju plač in drugih stroškov dela v javnem sektorju za leti 2022 in 2023</w:t>
      </w:r>
      <w:r w:rsidR="001B7FF7">
        <w:rPr>
          <w:rFonts w:cs="Arial"/>
          <w:b/>
          <w:bCs/>
          <w:szCs w:val="20"/>
          <w:lang w:val="sl-SI" w:eastAsia="sl-SI"/>
        </w:rPr>
        <w:t xml:space="preserve"> - pojasnilo</w:t>
      </w:r>
    </w:p>
    <w:bookmarkEnd w:id="1"/>
    <w:p w14:paraId="68029D9F" w14:textId="77777777" w:rsidR="00557704" w:rsidRPr="00FA1FE1" w:rsidRDefault="00557704" w:rsidP="00557704">
      <w:pPr>
        <w:spacing w:line="240" w:lineRule="exact"/>
        <w:jc w:val="both"/>
        <w:rPr>
          <w:rFonts w:cs="Arial"/>
          <w:b/>
          <w:bCs/>
          <w:szCs w:val="20"/>
          <w:lang w:val="sl-SI" w:eastAsia="sl-SI"/>
        </w:rPr>
      </w:pPr>
    </w:p>
    <w:bookmarkEnd w:id="0"/>
    <w:p w14:paraId="3804C90C" w14:textId="6F50ABBD" w:rsidR="00557704" w:rsidRPr="00FA1FE1" w:rsidRDefault="00557704" w:rsidP="00557704">
      <w:pPr>
        <w:jc w:val="both"/>
        <w:rPr>
          <w:rFonts w:cs="Arial"/>
          <w:szCs w:val="20"/>
          <w:lang w:val="sl-SI"/>
        </w:rPr>
      </w:pPr>
      <w:r w:rsidRPr="00FA1FE1">
        <w:rPr>
          <w:rFonts w:cs="Arial"/>
          <w:szCs w:val="20"/>
          <w:lang w:val="sl-SI" w:eastAsia="sl-SI"/>
        </w:rPr>
        <w:t xml:space="preserve">Obveščamo vas, da je bil v Uradnem listu RS, št. 136/22, dne 25. 10. 2022, </w:t>
      </w:r>
      <w:r w:rsidRPr="00FA1FE1">
        <w:rPr>
          <w:rFonts w:cs="Arial"/>
          <w:szCs w:val="20"/>
          <w:lang w:val="sl-SI"/>
        </w:rPr>
        <w:t xml:space="preserve">objavljen </w:t>
      </w:r>
      <w:hyperlink r:id="rId8" w:history="1">
        <w:r w:rsidRPr="00FA1FE1">
          <w:rPr>
            <w:rFonts w:cs="Arial"/>
            <w:szCs w:val="20"/>
            <w:lang w:val="sl-SI"/>
          </w:rPr>
          <w:t>Dogovor o ukrepih na področju plač in drugih stroškov dela v javnem sektorju za leti 2022 in 2023</w:t>
        </w:r>
      </w:hyperlink>
      <w:r w:rsidRPr="00FA1FE1">
        <w:rPr>
          <w:rFonts w:cs="Arial"/>
          <w:szCs w:val="20"/>
          <w:lang w:val="sl-SI"/>
        </w:rPr>
        <w:t xml:space="preserve"> (v nadaljevanju: Dogovor). Prav tako so bili v isti številki uradnega lista objavljeni naslednji aneksi h kolektivnim pogodbam</w:t>
      </w:r>
      <w:r w:rsidR="00947CD3" w:rsidRPr="00FA1FE1">
        <w:rPr>
          <w:rFonts w:cs="Arial"/>
          <w:szCs w:val="20"/>
          <w:lang w:val="sl-SI"/>
        </w:rPr>
        <w:t>, ki so bili sklenjeni za realizacijo Dogovora</w:t>
      </w:r>
      <w:r w:rsidRPr="00FA1FE1">
        <w:rPr>
          <w:rFonts w:cs="Arial"/>
          <w:szCs w:val="20"/>
          <w:lang w:val="sl-SI"/>
        </w:rPr>
        <w:t>: </w:t>
      </w:r>
    </w:p>
    <w:p w14:paraId="2884460A" w14:textId="78F28069" w:rsidR="00557704" w:rsidRPr="00FA1FE1" w:rsidRDefault="003551D6" w:rsidP="00557704">
      <w:pPr>
        <w:pStyle w:val="Odstavekseznama"/>
        <w:numPr>
          <w:ilvl w:val="0"/>
          <w:numId w:val="2"/>
        </w:numPr>
        <w:jc w:val="both"/>
        <w:rPr>
          <w:rFonts w:cs="Arial"/>
          <w:szCs w:val="20"/>
        </w:rPr>
      </w:pPr>
      <w:hyperlink r:id="rId9" w:tgtFrame="_blank" w:history="1">
        <w:r w:rsidR="00557704" w:rsidRPr="00FA1FE1">
          <w:rPr>
            <w:rFonts w:cs="Arial"/>
            <w:szCs w:val="20"/>
          </w:rPr>
          <w:t>Aneks h Kolektivni pogodbi za negospodarske dejavnosti v Republiki Sloveniji</w:t>
        </w:r>
      </w:hyperlink>
      <w:r w:rsidR="00EB46F1" w:rsidRPr="00FA1FE1">
        <w:rPr>
          <w:rFonts w:cs="Arial"/>
          <w:szCs w:val="20"/>
        </w:rPr>
        <w:t xml:space="preserve"> (v nadaljevanju: Aneks h KPND)</w:t>
      </w:r>
    </w:p>
    <w:p w14:paraId="7D2A529D" w14:textId="64A0BE86" w:rsidR="00557704" w:rsidRPr="00FA1FE1" w:rsidRDefault="003551D6" w:rsidP="00557704">
      <w:pPr>
        <w:pStyle w:val="Odstavekseznama"/>
        <w:numPr>
          <w:ilvl w:val="0"/>
          <w:numId w:val="2"/>
        </w:numPr>
        <w:jc w:val="both"/>
        <w:rPr>
          <w:rFonts w:cs="Arial"/>
          <w:szCs w:val="20"/>
        </w:rPr>
      </w:pPr>
      <w:hyperlink r:id="rId10" w:tgtFrame="_blank" w:history="1">
        <w:r w:rsidR="00557704" w:rsidRPr="00FA1FE1">
          <w:rPr>
            <w:rFonts w:cs="Arial"/>
            <w:szCs w:val="20"/>
          </w:rPr>
          <w:t>Aneks št. 13 h Kolektivni pogodbi za javni sektor (KPJS)</w:t>
        </w:r>
      </w:hyperlink>
      <w:r w:rsidR="0017391B">
        <w:rPr>
          <w:rFonts w:cs="Arial"/>
          <w:szCs w:val="20"/>
        </w:rPr>
        <w:t xml:space="preserve"> (v nadaljevanju: Aneks št. 13 h KPJS)</w:t>
      </w:r>
    </w:p>
    <w:p w14:paraId="32757DD4" w14:textId="47E09F52" w:rsidR="00557704" w:rsidRPr="00FA1FE1" w:rsidRDefault="003551D6" w:rsidP="00557704">
      <w:pPr>
        <w:pStyle w:val="Odstavekseznama"/>
        <w:numPr>
          <w:ilvl w:val="0"/>
          <w:numId w:val="2"/>
        </w:numPr>
        <w:jc w:val="both"/>
        <w:rPr>
          <w:rFonts w:cs="Arial"/>
          <w:szCs w:val="20"/>
        </w:rPr>
      </w:pPr>
      <w:hyperlink r:id="rId11" w:tgtFrame="_blank" w:history="1">
        <w:r w:rsidR="00557704" w:rsidRPr="00FA1FE1">
          <w:rPr>
            <w:rFonts w:cs="Arial"/>
            <w:szCs w:val="20"/>
          </w:rPr>
          <w:t>Aneks št. 5 h Kolektivni pogodbi za državno upravo, uprave pravosodnih organov in uprave samoupravnih lokalnih skupnosti – tarifni del</w:t>
        </w:r>
      </w:hyperlink>
    </w:p>
    <w:p w14:paraId="0159D96D" w14:textId="77777777" w:rsidR="00557704" w:rsidRPr="00FA1FE1" w:rsidRDefault="003551D6" w:rsidP="00557704">
      <w:pPr>
        <w:pStyle w:val="Odstavekseznama"/>
        <w:numPr>
          <w:ilvl w:val="0"/>
          <w:numId w:val="2"/>
        </w:numPr>
        <w:jc w:val="both"/>
        <w:rPr>
          <w:rFonts w:cs="Arial"/>
          <w:szCs w:val="20"/>
        </w:rPr>
      </w:pPr>
      <w:hyperlink r:id="rId12" w:tgtFrame="_blank" w:history="1">
        <w:r w:rsidR="00557704" w:rsidRPr="00FA1FE1">
          <w:rPr>
            <w:rFonts w:cs="Arial"/>
            <w:szCs w:val="20"/>
          </w:rPr>
          <w:t>Aneks št. 4 h Kolektivni pogodbi Javnega gospodarskega zavoda Brdo Protokolarne storitve Republike Slovenije – tarifni del</w:t>
        </w:r>
      </w:hyperlink>
    </w:p>
    <w:p w14:paraId="456DC607" w14:textId="77777777" w:rsidR="00557704" w:rsidRPr="00FA1FE1" w:rsidRDefault="003551D6" w:rsidP="00557704">
      <w:pPr>
        <w:pStyle w:val="Odstavekseznama"/>
        <w:numPr>
          <w:ilvl w:val="0"/>
          <w:numId w:val="2"/>
        </w:numPr>
        <w:jc w:val="both"/>
        <w:rPr>
          <w:rFonts w:cs="Arial"/>
          <w:szCs w:val="20"/>
        </w:rPr>
      </w:pPr>
      <w:hyperlink r:id="rId13" w:tgtFrame="_blank" w:history="1">
        <w:r w:rsidR="00557704" w:rsidRPr="00FA1FE1">
          <w:rPr>
            <w:rFonts w:cs="Arial"/>
            <w:szCs w:val="20"/>
          </w:rPr>
          <w:t>Aneks h Kolektivni pogodbi za zdravnike in zobozdravnike v Republiki Sloveniji</w:t>
        </w:r>
      </w:hyperlink>
    </w:p>
    <w:p w14:paraId="6D68E080" w14:textId="77777777" w:rsidR="00557704" w:rsidRPr="00FA1FE1" w:rsidRDefault="003551D6" w:rsidP="00557704">
      <w:pPr>
        <w:pStyle w:val="Odstavekseznama"/>
        <w:numPr>
          <w:ilvl w:val="0"/>
          <w:numId w:val="2"/>
        </w:numPr>
        <w:jc w:val="both"/>
        <w:rPr>
          <w:rFonts w:cs="Arial"/>
          <w:szCs w:val="20"/>
        </w:rPr>
      </w:pPr>
      <w:hyperlink r:id="rId14" w:tgtFrame="_blank" w:history="1">
        <w:r w:rsidR="00557704" w:rsidRPr="00FA1FE1">
          <w:rPr>
            <w:rFonts w:cs="Arial"/>
            <w:szCs w:val="20"/>
          </w:rPr>
          <w:t>Aneks k Posebnemu tarifnemu delu Kolektivne pogodbe za zdravnike in zobozdravnike v Republiki Sloveniji</w:t>
        </w:r>
      </w:hyperlink>
    </w:p>
    <w:p w14:paraId="7BE1476F" w14:textId="77777777" w:rsidR="00557704" w:rsidRPr="00FA1FE1" w:rsidRDefault="003551D6" w:rsidP="00557704">
      <w:pPr>
        <w:pStyle w:val="Odstavekseznama"/>
        <w:numPr>
          <w:ilvl w:val="0"/>
          <w:numId w:val="2"/>
        </w:numPr>
        <w:jc w:val="both"/>
        <w:rPr>
          <w:rFonts w:cs="Arial"/>
          <w:szCs w:val="20"/>
        </w:rPr>
      </w:pPr>
      <w:hyperlink r:id="rId15" w:tgtFrame="_blank" w:history="1">
        <w:r w:rsidR="00557704" w:rsidRPr="00FA1FE1">
          <w:rPr>
            <w:rFonts w:cs="Arial"/>
            <w:szCs w:val="20"/>
          </w:rPr>
          <w:t>Aneks h Kolektivni pogodbi za zaposlene v zdravstveni negi</w:t>
        </w:r>
      </w:hyperlink>
    </w:p>
    <w:p w14:paraId="523D7EE2" w14:textId="77777777" w:rsidR="00557704" w:rsidRPr="00FA1FE1" w:rsidRDefault="003551D6" w:rsidP="00557704">
      <w:pPr>
        <w:pStyle w:val="Odstavekseznama"/>
        <w:numPr>
          <w:ilvl w:val="0"/>
          <w:numId w:val="2"/>
        </w:numPr>
        <w:jc w:val="both"/>
        <w:rPr>
          <w:rFonts w:cs="Arial"/>
          <w:szCs w:val="20"/>
        </w:rPr>
      </w:pPr>
      <w:hyperlink r:id="rId16" w:tgtFrame="_blank" w:history="1">
        <w:r w:rsidR="00557704" w:rsidRPr="00FA1FE1">
          <w:rPr>
            <w:rFonts w:cs="Arial"/>
            <w:szCs w:val="20"/>
          </w:rPr>
          <w:t>Aneks št. 4 h Kolektivni pogodbi za dejavnost obvezne socialne varnosti – tarifni del</w:t>
        </w:r>
      </w:hyperlink>
    </w:p>
    <w:p w14:paraId="681D4D68" w14:textId="77777777" w:rsidR="00557704" w:rsidRPr="00FA1FE1" w:rsidRDefault="003551D6" w:rsidP="00557704">
      <w:pPr>
        <w:pStyle w:val="Odstavekseznama"/>
        <w:numPr>
          <w:ilvl w:val="0"/>
          <w:numId w:val="2"/>
        </w:numPr>
        <w:jc w:val="both"/>
        <w:rPr>
          <w:rFonts w:cs="Arial"/>
          <w:szCs w:val="20"/>
        </w:rPr>
      </w:pPr>
      <w:hyperlink r:id="rId17" w:tgtFrame="_blank" w:history="1">
        <w:r w:rsidR="00557704" w:rsidRPr="00FA1FE1">
          <w:rPr>
            <w:rFonts w:cs="Arial"/>
            <w:szCs w:val="20"/>
          </w:rPr>
          <w:t>Aneks h Kolektivni pogodbi za dejavnost zdravstva in socialnega varstva Slovenije</w:t>
        </w:r>
      </w:hyperlink>
    </w:p>
    <w:p w14:paraId="47E91E0C" w14:textId="77777777" w:rsidR="00557704" w:rsidRPr="00FA1FE1" w:rsidRDefault="003551D6" w:rsidP="00557704">
      <w:pPr>
        <w:pStyle w:val="Odstavekseznama"/>
        <w:numPr>
          <w:ilvl w:val="0"/>
          <w:numId w:val="2"/>
        </w:numPr>
        <w:jc w:val="both"/>
        <w:rPr>
          <w:rFonts w:cs="Arial"/>
          <w:szCs w:val="20"/>
        </w:rPr>
      </w:pPr>
      <w:hyperlink r:id="rId18" w:tgtFrame="_blank" w:history="1">
        <w:r w:rsidR="00557704" w:rsidRPr="00FA1FE1">
          <w:rPr>
            <w:rFonts w:cs="Arial"/>
            <w:szCs w:val="20"/>
          </w:rPr>
          <w:t>Aneks h Kolektivni pogodbi za dejavnost vzgoje in izobraževanja v Republiki Sloveniji</w:t>
        </w:r>
      </w:hyperlink>
    </w:p>
    <w:p w14:paraId="15C0B7BB" w14:textId="77777777" w:rsidR="00557704" w:rsidRPr="00FA1FE1" w:rsidRDefault="003551D6" w:rsidP="00557704">
      <w:pPr>
        <w:pStyle w:val="Odstavekseznama"/>
        <w:numPr>
          <w:ilvl w:val="0"/>
          <w:numId w:val="2"/>
        </w:numPr>
        <w:jc w:val="both"/>
        <w:rPr>
          <w:rFonts w:cs="Arial"/>
          <w:szCs w:val="20"/>
        </w:rPr>
      </w:pPr>
      <w:hyperlink r:id="rId19" w:tgtFrame="_blank" w:history="1">
        <w:r w:rsidR="00557704" w:rsidRPr="00FA1FE1">
          <w:rPr>
            <w:rFonts w:cs="Arial"/>
            <w:szCs w:val="20"/>
          </w:rPr>
          <w:t>Aneks h Kolektivni pogodbi za raziskovalno dejavnost</w:t>
        </w:r>
      </w:hyperlink>
    </w:p>
    <w:p w14:paraId="74BF7447" w14:textId="77777777" w:rsidR="00557704" w:rsidRPr="00FA1FE1" w:rsidRDefault="003551D6" w:rsidP="00557704">
      <w:pPr>
        <w:pStyle w:val="Odstavekseznama"/>
        <w:numPr>
          <w:ilvl w:val="0"/>
          <w:numId w:val="2"/>
        </w:numPr>
        <w:jc w:val="both"/>
        <w:rPr>
          <w:rFonts w:cs="Arial"/>
          <w:szCs w:val="20"/>
        </w:rPr>
      </w:pPr>
      <w:hyperlink r:id="rId20" w:tgtFrame="_blank" w:history="1">
        <w:r w:rsidR="00557704" w:rsidRPr="00FA1FE1">
          <w:rPr>
            <w:rFonts w:cs="Arial"/>
            <w:szCs w:val="20"/>
          </w:rPr>
          <w:t>Aneks št. 4 h Kolektivni pogodbi za dejavnost okolja in prostora – tarifni del</w:t>
        </w:r>
      </w:hyperlink>
    </w:p>
    <w:p w14:paraId="0AB0F099" w14:textId="77777777" w:rsidR="00557704" w:rsidRPr="00FA1FE1" w:rsidRDefault="003551D6" w:rsidP="00557704">
      <w:pPr>
        <w:pStyle w:val="Odstavekseznama"/>
        <w:numPr>
          <w:ilvl w:val="0"/>
          <w:numId w:val="2"/>
        </w:numPr>
        <w:jc w:val="both"/>
        <w:rPr>
          <w:rFonts w:cs="Arial"/>
          <w:szCs w:val="20"/>
        </w:rPr>
      </w:pPr>
      <w:hyperlink r:id="rId21" w:tgtFrame="_blank" w:history="1">
        <w:r w:rsidR="00557704" w:rsidRPr="00FA1FE1">
          <w:rPr>
            <w:rFonts w:cs="Arial"/>
            <w:szCs w:val="20"/>
          </w:rPr>
          <w:t>Aneks št. 4 h Kolektivni pogodbi za gozdarsko dejavnost – tarifni del</w:t>
        </w:r>
      </w:hyperlink>
    </w:p>
    <w:p w14:paraId="108D92CA" w14:textId="77777777" w:rsidR="00557704" w:rsidRPr="00FA1FE1" w:rsidRDefault="003551D6" w:rsidP="00557704">
      <w:pPr>
        <w:pStyle w:val="Odstavekseznama"/>
        <w:numPr>
          <w:ilvl w:val="0"/>
          <w:numId w:val="2"/>
        </w:numPr>
        <w:jc w:val="both"/>
        <w:rPr>
          <w:rFonts w:cs="Arial"/>
          <w:szCs w:val="20"/>
        </w:rPr>
      </w:pPr>
      <w:hyperlink r:id="rId22" w:tgtFrame="_blank" w:history="1">
        <w:r w:rsidR="00557704" w:rsidRPr="00FA1FE1">
          <w:rPr>
            <w:rFonts w:cs="Arial"/>
            <w:szCs w:val="20"/>
          </w:rPr>
          <w:t>Aneks št. 4 h Kolektivni pogodbi za kmetijsko dejavnost – tarifni del</w:t>
        </w:r>
      </w:hyperlink>
    </w:p>
    <w:p w14:paraId="4C89681F" w14:textId="77777777" w:rsidR="00557704" w:rsidRPr="00FA1FE1" w:rsidRDefault="003551D6" w:rsidP="00557704">
      <w:pPr>
        <w:pStyle w:val="Odstavekseznama"/>
        <w:numPr>
          <w:ilvl w:val="0"/>
          <w:numId w:val="2"/>
        </w:numPr>
        <w:jc w:val="both"/>
        <w:rPr>
          <w:rFonts w:cs="Arial"/>
          <w:szCs w:val="20"/>
        </w:rPr>
      </w:pPr>
      <w:hyperlink r:id="rId23" w:tgtFrame="_blank" w:history="1">
        <w:r w:rsidR="00557704" w:rsidRPr="00FA1FE1">
          <w:rPr>
            <w:rFonts w:cs="Arial"/>
            <w:szCs w:val="20"/>
          </w:rPr>
          <w:t>Aneks št. 4 h Kolektivni pogodbi za dejavnost poklicnega gasilstva – tarifni del</w:t>
        </w:r>
      </w:hyperlink>
    </w:p>
    <w:p w14:paraId="73AA468E" w14:textId="2FFE5ED9" w:rsidR="00557704" w:rsidRPr="00FA1FE1" w:rsidRDefault="00557704" w:rsidP="00557704">
      <w:pPr>
        <w:pStyle w:val="Odstavekseznama"/>
        <w:numPr>
          <w:ilvl w:val="0"/>
          <w:numId w:val="2"/>
        </w:numPr>
        <w:jc w:val="both"/>
        <w:rPr>
          <w:rFonts w:cs="Arial"/>
          <w:szCs w:val="20"/>
        </w:rPr>
      </w:pPr>
      <w:r w:rsidRPr="00FA1FE1">
        <w:rPr>
          <w:rFonts w:cs="Arial"/>
          <w:szCs w:val="20"/>
        </w:rPr>
        <w:t>Aneks h Kolektivni pogodbi za kulturne dejavnosti v Republiki Sloveniji</w:t>
      </w:r>
    </w:p>
    <w:p w14:paraId="0CA53D21" w14:textId="58F9AB4C" w:rsidR="00557704" w:rsidRPr="00FA1FE1" w:rsidRDefault="00557704" w:rsidP="00557704">
      <w:pPr>
        <w:spacing w:line="240" w:lineRule="exact"/>
        <w:jc w:val="both"/>
        <w:rPr>
          <w:rFonts w:cs="Arial"/>
          <w:szCs w:val="20"/>
          <w:lang w:val="sl-SI" w:eastAsia="sl-SI"/>
        </w:rPr>
      </w:pPr>
    </w:p>
    <w:p w14:paraId="7D2D6044" w14:textId="78A220A1" w:rsidR="00AA3581" w:rsidRPr="00FA1FE1" w:rsidRDefault="00AA3581" w:rsidP="00557704">
      <w:pPr>
        <w:spacing w:line="240" w:lineRule="exact"/>
        <w:jc w:val="both"/>
        <w:rPr>
          <w:rFonts w:cs="Arial"/>
          <w:szCs w:val="20"/>
          <w:lang w:val="sl-SI" w:eastAsia="sl-SI"/>
        </w:rPr>
      </w:pPr>
      <w:r w:rsidRPr="00FA1FE1">
        <w:rPr>
          <w:rFonts w:cs="Arial"/>
          <w:szCs w:val="20"/>
          <w:lang w:val="sl-SI" w:eastAsia="sl-SI"/>
        </w:rPr>
        <w:t>Dogovor vsebuje naslednje ukrepe:</w:t>
      </w:r>
    </w:p>
    <w:p w14:paraId="3C84727B" w14:textId="3FEDB36E" w:rsidR="00AA3581" w:rsidRPr="00FA1FE1" w:rsidRDefault="00AA3581" w:rsidP="00AA3581">
      <w:pPr>
        <w:spacing w:before="100" w:beforeAutospacing="1" w:after="100" w:afterAutospacing="1" w:line="240" w:lineRule="exact"/>
        <w:jc w:val="both"/>
        <w:rPr>
          <w:rFonts w:cs="Arial"/>
          <w:szCs w:val="20"/>
          <w:lang w:val="sl-SI" w:eastAsia="sl-SI"/>
        </w:rPr>
      </w:pPr>
      <w:r w:rsidRPr="00FA1FE1">
        <w:rPr>
          <w:rFonts w:cs="Arial"/>
          <w:szCs w:val="20"/>
          <w:lang w:val="sl-SI" w:eastAsia="sl-SI"/>
        </w:rPr>
        <w:t xml:space="preserve">1. Uskladitev vrednosti plačnih razredov plačne lestvice </w:t>
      </w:r>
    </w:p>
    <w:p w14:paraId="4028AA81" w14:textId="612B10B9" w:rsidR="00AA3581" w:rsidRPr="00FA1FE1" w:rsidRDefault="00AA3581" w:rsidP="00AA3581">
      <w:pPr>
        <w:spacing w:before="100" w:beforeAutospacing="1" w:after="100" w:afterAutospacing="1" w:line="240" w:lineRule="exact"/>
        <w:jc w:val="both"/>
        <w:rPr>
          <w:rFonts w:cs="Arial"/>
          <w:szCs w:val="20"/>
          <w:lang w:val="sl-SI"/>
        </w:rPr>
      </w:pPr>
      <w:r w:rsidRPr="00FA1FE1">
        <w:rPr>
          <w:rFonts w:cs="Arial"/>
          <w:szCs w:val="20"/>
          <w:lang w:val="sl-SI"/>
        </w:rPr>
        <w:t>2. Povišanje uvrstitev delovnih mest, nazivov, funkcij in vrednosti nominalnih osnov za delo v tujini</w:t>
      </w:r>
    </w:p>
    <w:p w14:paraId="7321FE30" w14:textId="6C5B70DB" w:rsidR="00AA3581" w:rsidRPr="00FA1FE1" w:rsidRDefault="00AA3581" w:rsidP="00AA3581">
      <w:pPr>
        <w:spacing w:before="100" w:beforeAutospacing="1" w:after="100" w:afterAutospacing="1" w:line="240" w:lineRule="exact"/>
        <w:jc w:val="both"/>
        <w:rPr>
          <w:rFonts w:cs="Arial"/>
          <w:szCs w:val="20"/>
          <w:lang w:val="sl-SI"/>
        </w:rPr>
      </w:pPr>
      <w:r w:rsidRPr="00FA1FE1">
        <w:rPr>
          <w:rFonts w:cs="Arial"/>
          <w:szCs w:val="20"/>
          <w:lang w:val="sl-SI"/>
        </w:rPr>
        <w:t xml:space="preserve">3. Določitev regresa za letni dopust za leto 2022 </w:t>
      </w:r>
    </w:p>
    <w:p w14:paraId="7A2163C8" w14:textId="6A420AC3" w:rsidR="00AA3581" w:rsidRPr="00FA1FE1" w:rsidRDefault="00AA3581" w:rsidP="00AA3581">
      <w:pPr>
        <w:spacing w:before="100" w:beforeAutospacing="1" w:after="100" w:afterAutospacing="1" w:line="240" w:lineRule="exact"/>
        <w:jc w:val="both"/>
        <w:rPr>
          <w:rFonts w:cs="Arial"/>
          <w:szCs w:val="20"/>
          <w:lang w:val="sl-SI"/>
        </w:rPr>
      </w:pPr>
      <w:r w:rsidRPr="00FA1FE1">
        <w:rPr>
          <w:rFonts w:cs="Arial"/>
          <w:szCs w:val="20"/>
          <w:lang w:val="sl-SI"/>
        </w:rPr>
        <w:t xml:space="preserve">4. Določitev regresa za prehrano </w:t>
      </w:r>
    </w:p>
    <w:p w14:paraId="6DFDE2AB" w14:textId="0CE6B57C" w:rsidR="00AA3581" w:rsidRPr="00FA1FE1" w:rsidRDefault="00AA3581" w:rsidP="00AA3581">
      <w:pPr>
        <w:jc w:val="both"/>
        <w:rPr>
          <w:rFonts w:cs="Arial"/>
          <w:szCs w:val="20"/>
          <w:lang w:val="sl-SI"/>
        </w:rPr>
      </w:pPr>
      <w:r w:rsidRPr="00FA1FE1">
        <w:rPr>
          <w:rFonts w:cs="Arial"/>
          <w:szCs w:val="20"/>
          <w:lang w:val="sl-SI"/>
        </w:rPr>
        <w:t xml:space="preserve">5. Realizacija sporazumov oziroma dogovorov, sklenjenih v obdobju preteklih vlad </w:t>
      </w:r>
    </w:p>
    <w:p w14:paraId="09CD00FC" w14:textId="18AB7A19" w:rsidR="00AA3581" w:rsidRPr="00FA1FE1" w:rsidRDefault="00AA3581" w:rsidP="00AA3581">
      <w:pPr>
        <w:jc w:val="both"/>
        <w:rPr>
          <w:rFonts w:cs="Arial"/>
          <w:szCs w:val="20"/>
          <w:lang w:val="sl-SI"/>
        </w:rPr>
      </w:pPr>
    </w:p>
    <w:p w14:paraId="33F914A4" w14:textId="0504FE08" w:rsidR="00AA3581" w:rsidRPr="00FA1FE1" w:rsidRDefault="00AA3581" w:rsidP="00AA3581">
      <w:pPr>
        <w:jc w:val="both"/>
        <w:rPr>
          <w:rFonts w:cs="Arial"/>
          <w:szCs w:val="20"/>
          <w:lang w:val="sl-SI"/>
        </w:rPr>
      </w:pPr>
      <w:r w:rsidRPr="00FA1FE1">
        <w:rPr>
          <w:rFonts w:cs="Arial"/>
          <w:szCs w:val="20"/>
          <w:lang w:val="sl-SI"/>
        </w:rPr>
        <w:t>6. Usklajevanje sistemskih sprememb plačnega sistema javnega sektorja, odprava nesorazmerij v osnovnih plačah, upoštevaje spodnjo tretjino plačne lestvice</w:t>
      </w:r>
    </w:p>
    <w:p w14:paraId="2B923B12" w14:textId="23F0E3ED" w:rsidR="00947CD3" w:rsidRPr="00FA1FE1" w:rsidRDefault="00947CD3" w:rsidP="00AA3581">
      <w:pPr>
        <w:jc w:val="both"/>
        <w:rPr>
          <w:rFonts w:cs="Arial"/>
          <w:szCs w:val="20"/>
          <w:lang w:val="sl-SI"/>
        </w:rPr>
      </w:pPr>
    </w:p>
    <w:p w14:paraId="6B64D263" w14:textId="16DEA638" w:rsidR="00947CD3" w:rsidRPr="00FA1FE1" w:rsidRDefault="00947CD3" w:rsidP="00AA3581">
      <w:pPr>
        <w:jc w:val="both"/>
        <w:rPr>
          <w:rFonts w:cs="Arial"/>
          <w:szCs w:val="20"/>
          <w:lang w:val="sl-SI"/>
        </w:rPr>
      </w:pPr>
      <w:r w:rsidRPr="00FA1FE1">
        <w:rPr>
          <w:rFonts w:cs="Arial"/>
          <w:szCs w:val="20"/>
          <w:lang w:val="sl-SI"/>
        </w:rPr>
        <w:t>7. Zagotavljanje finančnih sredstev</w:t>
      </w:r>
    </w:p>
    <w:p w14:paraId="6CC53FD0" w14:textId="662E0E63" w:rsidR="00AA3581" w:rsidRPr="00FA1FE1" w:rsidRDefault="00AA3581" w:rsidP="00AA3581">
      <w:pPr>
        <w:jc w:val="both"/>
        <w:rPr>
          <w:rFonts w:cs="Arial"/>
          <w:szCs w:val="20"/>
          <w:lang w:val="sl-SI"/>
        </w:rPr>
      </w:pPr>
    </w:p>
    <w:p w14:paraId="6CE1DDC5" w14:textId="5450384F" w:rsidR="00AA3581" w:rsidRPr="00FA1FE1" w:rsidRDefault="00AA3581" w:rsidP="00AA3581">
      <w:pPr>
        <w:jc w:val="both"/>
        <w:rPr>
          <w:rFonts w:cs="Arial"/>
          <w:b/>
          <w:bCs/>
          <w:szCs w:val="20"/>
          <w:lang w:val="sl-SI"/>
        </w:rPr>
      </w:pPr>
      <w:r w:rsidRPr="00FA1FE1">
        <w:rPr>
          <w:rFonts w:cs="Arial"/>
          <w:szCs w:val="20"/>
          <w:lang w:val="sl-SI"/>
        </w:rPr>
        <w:t xml:space="preserve">Zaradi realizacije Dogovora je bila pripravljena tudi novela Zakona o sistemu plač v javnem sektorju, ki je bila sprejeta v Državnem zboru dne 25. oktobra 2022, vendar zakon še ni bil objavljen v Uradnem listu RS, zato </w:t>
      </w:r>
      <w:r w:rsidRPr="00FA1FE1">
        <w:rPr>
          <w:rFonts w:cs="Arial"/>
          <w:b/>
          <w:bCs/>
          <w:szCs w:val="20"/>
          <w:lang w:val="sl-SI"/>
        </w:rPr>
        <w:t>zaenkrat pravne podlage za izplačilo višjih plač</w:t>
      </w:r>
      <w:r w:rsidR="00947CD3" w:rsidRPr="00FA1FE1">
        <w:rPr>
          <w:rFonts w:cs="Arial"/>
          <w:b/>
          <w:bCs/>
          <w:szCs w:val="20"/>
          <w:lang w:val="sl-SI"/>
        </w:rPr>
        <w:t xml:space="preserve">, povračil stroškov in prejemkov </w:t>
      </w:r>
      <w:r w:rsidRPr="00FA1FE1">
        <w:rPr>
          <w:rFonts w:cs="Arial"/>
          <w:b/>
          <w:bCs/>
          <w:szCs w:val="20"/>
          <w:lang w:val="sl-SI"/>
        </w:rPr>
        <w:t xml:space="preserve">funkcionarjem </w:t>
      </w:r>
      <w:r w:rsidRPr="00FA1FE1">
        <w:rPr>
          <w:rFonts w:cs="Arial"/>
          <w:b/>
          <w:bCs/>
          <w:szCs w:val="20"/>
          <w:u w:val="single"/>
          <w:lang w:val="sl-SI"/>
        </w:rPr>
        <w:t>ni.</w:t>
      </w:r>
    </w:p>
    <w:p w14:paraId="01A2DF85" w14:textId="606595BB" w:rsidR="00AA3581" w:rsidRPr="00FA1FE1" w:rsidRDefault="00AA3581" w:rsidP="00AA3581">
      <w:pPr>
        <w:jc w:val="both"/>
        <w:rPr>
          <w:rFonts w:cs="Arial"/>
          <w:szCs w:val="20"/>
          <w:lang w:val="sl-SI"/>
        </w:rPr>
      </w:pPr>
    </w:p>
    <w:p w14:paraId="2A2A7261" w14:textId="038E3E7D" w:rsidR="00947CD3" w:rsidRPr="00FA1FE1" w:rsidRDefault="00AA3581" w:rsidP="00AA3581">
      <w:pPr>
        <w:jc w:val="both"/>
        <w:rPr>
          <w:rFonts w:cs="Arial"/>
          <w:b/>
          <w:bCs/>
          <w:szCs w:val="20"/>
          <w:lang w:val="sl-SI"/>
        </w:rPr>
      </w:pPr>
      <w:r w:rsidRPr="00FA1FE1">
        <w:rPr>
          <w:rFonts w:cs="Arial"/>
          <w:szCs w:val="20"/>
          <w:lang w:val="sl-SI"/>
        </w:rPr>
        <w:t>V nadaljevanju podajamo pojasnila</w:t>
      </w:r>
      <w:r w:rsidR="00947CD3" w:rsidRPr="00FA1FE1">
        <w:rPr>
          <w:rFonts w:cs="Arial"/>
          <w:szCs w:val="20"/>
          <w:lang w:val="sl-SI"/>
        </w:rPr>
        <w:t xml:space="preserve"> glede </w:t>
      </w:r>
      <w:r w:rsidR="00947CD3" w:rsidRPr="00FA1FE1">
        <w:rPr>
          <w:rFonts w:cs="Arial"/>
          <w:b/>
          <w:bCs/>
          <w:szCs w:val="20"/>
          <w:lang w:val="sl-SI"/>
        </w:rPr>
        <w:t>ukrepov, ki veljajo za javne uslužbence, vključno z javnimi uslužbenci plačne skupine B (direktorji, ravnatelji, tajniki)</w:t>
      </w:r>
      <w:r w:rsidR="00A73AC9" w:rsidRPr="00FA1FE1">
        <w:rPr>
          <w:rFonts w:cs="Arial"/>
          <w:b/>
          <w:bCs/>
          <w:szCs w:val="20"/>
          <w:lang w:val="sl-SI"/>
        </w:rPr>
        <w:t>:</w:t>
      </w:r>
    </w:p>
    <w:p w14:paraId="7C2EEA77" w14:textId="02FFFBEF" w:rsidR="00AA3581" w:rsidRPr="00FA1FE1" w:rsidRDefault="00947CD3" w:rsidP="00A73AC9">
      <w:pPr>
        <w:jc w:val="both"/>
        <w:rPr>
          <w:rFonts w:cs="Arial"/>
          <w:b/>
          <w:bCs/>
          <w:szCs w:val="20"/>
          <w:lang w:val="sl-SI"/>
        </w:rPr>
      </w:pPr>
      <w:r w:rsidRPr="00FA1FE1">
        <w:rPr>
          <w:rFonts w:cs="Arial"/>
          <w:b/>
          <w:bCs/>
          <w:szCs w:val="20"/>
          <w:lang w:val="sl-SI"/>
        </w:rPr>
        <w:t xml:space="preserve"> </w:t>
      </w:r>
    </w:p>
    <w:p w14:paraId="3A26CC11" w14:textId="4A6DEEED" w:rsidR="00557704" w:rsidRPr="0040388C" w:rsidRDefault="00557704" w:rsidP="0040388C">
      <w:pPr>
        <w:pStyle w:val="Naslov1"/>
        <w:rPr>
          <w:b/>
          <w:bCs/>
          <w:lang w:val="sl-SI"/>
        </w:rPr>
      </w:pPr>
      <w:r w:rsidRPr="0040388C">
        <w:rPr>
          <w:b/>
          <w:bCs/>
          <w:lang w:val="sl-SI"/>
        </w:rPr>
        <w:t xml:space="preserve">1. </w:t>
      </w:r>
      <w:r w:rsidR="00AA3581" w:rsidRPr="0040388C">
        <w:rPr>
          <w:b/>
          <w:bCs/>
          <w:lang w:val="sl-SI"/>
        </w:rPr>
        <w:t>Uskladitev vrednosti plačnih razredov plačne lestvice</w:t>
      </w:r>
    </w:p>
    <w:p w14:paraId="7673DE59" w14:textId="5625FDE2" w:rsidR="00AA3581" w:rsidRPr="00FA1FE1" w:rsidRDefault="00AA3581" w:rsidP="00557704">
      <w:pPr>
        <w:spacing w:line="240" w:lineRule="exact"/>
        <w:jc w:val="both"/>
        <w:rPr>
          <w:rFonts w:cs="Arial"/>
          <w:b/>
          <w:bCs/>
          <w:szCs w:val="20"/>
          <w:lang w:val="sl-SI"/>
        </w:rPr>
      </w:pPr>
    </w:p>
    <w:p w14:paraId="12F081CE" w14:textId="55062FA9" w:rsidR="003A2392" w:rsidRPr="00FA1FE1" w:rsidRDefault="00947CD3" w:rsidP="00557704">
      <w:pPr>
        <w:spacing w:line="240" w:lineRule="exact"/>
        <w:jc w:val="both"/>
        <w:rPr>
          <w:rFonts w:cs="Arial"/>
          <w:szCs w:val="20"/>
          <w:lang w:val="sl-SI"/>
        </w:rPr>
      </w:pPr>
      <w:r w:rsidRPr="00FA1FE1">
        <w:rPr>
          <w:rFonts w:cs="Arial"/>
          <w:szCs w:val="20"/>
          <w:lang w:val="sl-SI"/>
        </w:rPr>
        <w:t xml:space="preserve">Skladno </w:t>
      </w:r>
      <w:r w:rsidR="003A2392" w:rsidRPr="00FA1FE1">
        <w:rPr>
          <w:rFonts w:cs="Arial"/>
          <w:szCs w:val="20"/>
          <w:lang w:val="sl-SI"/>
        </w:rPr>
        <w:t xml:space="preserve">s petim odstavkom 5. člena Zakona o sistemu plač v javnem sektorju (Uradni list RS, št. </w:t>
      </w:r>
      <w:hyperlink r:id="rId24" w:tgtFrame="_blank" w:tooltip="Zakon o sistemu plač v javnem sektorju (uradno prečiščeno besedilo)" w:history="1">
        <w:r w:rsidR="003A2392" w:rsidRPr="00FA1FE1">
          <w:rPr>
            <w:rFonts w:cs="Arial"/>
            <w:szCs w:val="20"/>
            <w:lang w:val="sl-SI"/>
          </w:rPr>
          <w:t>108/09</w:t>
        </w:r>
      </w:hyperlink>
      <w:r w:rsidR="003A2392" w:rsidRPr="00FA1FE1">
        <w:rPr>
          <w:rFonts w:cs="Arial"/>
          <w:szCs w:val="20"/>
          <w:lang w:val="sl-SI"/>
        </w:rPr>
        <w:t xml:space="preserve"> – uradno prečiščeno besedilo, </w:t>
      </w:r>
      <w:hyperlink r:id="rId25" w:tgtFrame="_blank" w:tooltip="Zakon o spremembah Zakona o sistemu plač v javnem sektorju" w:history="1">
        <w:r w:rsidR="003A2392" w:rsidRPr="00FA1FE1">
          <w:rPr>
            <w:rFonts w:cs="Arial"/>
            <w:szCs w:val="20"/>
            <w:lang w:val="sl-SI"/>
          </w:rPr>
          <w:t>13/10</w:t>
        </w:r>
      </w:hyperlink>
      <w:r w:rsidR="003A2392" w:rsidRPr="00FA1FE1">
        <w:rPr>
          <w:rFonts w:cs="Arial"/>
          <w:szCs w:val="20"/>
          <w:lang w:val="sl-SI"/>
        </w:rPr>
        <w:t xml:space="preserve">, </w:t>
      </w:r>
      <w:hyperlink r:id="rId26" w:tgtFrame="_blank" w:tooltip="Zakon o spremembah in dopolnitvah Zakona o sistemu plač v javnem sektorju" w:history="1">
        <w:r w:rsidR="003A2392" w:rsidRPr="00FA1FE1">
          <w:rPr>
            <w:rFonts w:cs="Arial"/>
            <w:szCs w:val="20"/>
            <w:lang w:val="sl-SI"/>
          </w:rPr>
          <w:t>59/10</w:t>
        </w:r>
      </w:hyperlink>
      <w:r w:rsidR="003A2392" w:rsidRPr="00FA1FE1">
        <w:rPr>
          <w:rFonts w:cs="Arial"/>
          <w:szCs w:val="20"/>
          <w:lang w:val="sl-SI"/>
        </w:rPr>
        <w:t xml:space="preserve">, </w:t>
      </w:r>
      <w:hyperlink r:id="rId27" w:tgtFrame="_blank" w:tooltip="Zakon o spremembi Zakona o sistemu plač v javnem sektorju" w:history="1">
        <w:r w:rsidR="003A2392" w:rsidRPr="00FA1FE1">
          <w:rPr>
            <w:rFonts w:cs="Arial"/>
            <w:szCs w:val="20"/>
            <w:lang w:val="sl-SI"/>
          </w:rPr>
          <w:t>85/10</w:t>
        </w:r>
      </w:hyperlink>
      <w:r w:rsidR="003A2392" w:rsidRPr="00FA1FE1">
        <w:rPr>
          <w:rFonts w:cs="Arial"/>
          <w:szCs w:val="20"/>
          <w:lang w:val="sl-SI"/>
        </w:rPr>
        <w:t xml:space="preserve">, </w:t>
      </w:r>
      <w:hyperlink r:id="rId28" w:tgtFrame="_blank" w:tooltip="Zakon o spremembi Zakona o sistemu plač v javnem sektorju" w:history="1">
        <w:r w:rsidR="003A2392" w:rsidRPr="00FA1FE1">
          <w:rPr>
            <w:rFonts w:cs="Arial"/>
            <w:szCs w:val="20"/>
            <w:lang w:val="sl-SI"/>
          </w:rPr>
          <w:t>107/10</w:t>
        </w:r>
      </w:hyperlink>
      <w:r w:rsidR="003A2392" w:rsidRPr="00FA1FE1">
        <w:rPr>
          <w:rFonts w:cs="Arial"/>
          <w:szCs w:val="20"/>
          <w:lang w:val="sl-SI"/>
        </w:rPr>
        <w:t xml:space="preserve">, </w:t>
      </w:r>
      <w:hyperlink r:id="rId29" w:tgtFrame="_blank" w:tooltip="Avtentična razlaga 49.a člena Zakona o sistemu plač v javnem sektorju" w:history="1">
        <w:r w:rsidR="003A2392" w:rsidRPr="00FA1FE1">
          <w:rPr>
            <w:rFonts w:cs="Arial"/>
            <w:szCs w:val="20"/>
            <w:lang w:val="sl-SI"/>
          </w:rPr>
          <w:t>35/11</w:t>
        </w:r>
      </w:hyperlink>
      <w:r w:rsidR="003A2392" w:rsidRPr="00FA1FE1">
        <w:rPr>
          <w:rFonts w:cs="Arial"/>
          <w:szCs w:val="20"/>
          <w:lang w:val="sl-SI"/>
        </w:rPr>
        <w:t xml:space="preserve"> – ORZSPJS49a, </w:t>
      </w:r>
      <w:hyperlink r:id="rId30"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3A2392" w:rsidRPr="00FA1FE1">
          <w:rPr>
            <w:rFonts w:cs="Arial"/>
            <w:szCs w:val="20"/>
            <w:lang w:val="sl-SI"/>
          </w:rPr>
          <w:t>27/12</w:t>
        </w:r>
      </w:hyperlink>
      <w:r w:rsidR="003A2392" w:rsidRPr="00FA1FE1">
        <w:rPr>
          <w:rFonts w:cs="Arial"/>
          <w:szCs w:val="20"/>
          <w:lang w:val="sl-SI"/>
        </w:rPr>
        <w:t xml:space="preserve"> – </w:t>
      </w:r>
      <w:proofErr w:type="spellStart"/>
      <w:r w:rsidR="003A2392" w:rsidRPr="00FA1FE1">
        <w:rPr>
          <w:rFonts w:cs="Arial"/>
          <w:szCs w:val="20"/>
          <w:lang w:val="sl-SI"/>
        </w:rPr>
        <w:t>odl</w:t>
      </w:r>
      <w:proofErr w:type="spellEnd"/>
      <w:r w:rsidR="003A2392" w:rsidRPr="00FA1FE1">
        <w:rPr>
          <w:rFonts w:cs="Arial"/>
          <w:szCs w:val="20"/>
          <w:lang w:val="sl-SI"/>
        </w:rPr>
        <w:t xml:space="preserve">. US, </w:t>
      </w:r>
      <w:hyperlink r:id="rId31" w:tgtFrame="_blank" w:tooltip="Zakon za uravnoteženje javnih financ" w:history="1">
        <w:r w:rsidR="003A2392" w:rsidRPr="00FA1FE1">
          <w:rPr>
            <w:rFonts w:cs="Arial"/>
            <w:szCs w:val="20"/>
            <w:lang w:val="sl-SI"/>
          </w:rPr>
          <w:t>40/12</w:t>
        </w:r>
      </w:hyperlink>
      <w:r w:rsidR="003A2392" w:rsidRPr="00FA1FE1">
        <w:rPr>
          <w:rFonts w:cs="Arial"/>
          <w:szCs w:val="20"/>
          <w:lang w:val="sl-SI"/>
        </w:rPr>
        <w:t xml:space="preserve"> – ZUJF, </w:t>
      </w:r>
      <w:hyperlink r:id="rId32" w:tgtFrame="_blank" w:tooltip="Zakon o spremembi in dopolnitvah Zakona o sistemu plač v javnem sektorju" w:history="1">
        <w:r w:rsidR="003A2392" w:rsidRPr="00FA1FE1">
          <w:rPr>
            <w:rFonts w:cs="Arial"/>
            <w:szCs w:val="20"/>
            <w:lang w:val="sl-SI"/>
          </w:rPr>
          <w:t>46/13</w:t>
        </w:r>
      </w:hyperlink>
      <w:r w:rsidR="003A2392" w:rsidRPr="00FA1FE1">
        <w:rPr>
          <w:rFonts w:cs="Arial"/>
          <w:szCs w:val="20"/>
          <w:lang w:val="sl-SI"/>
        </w:rPr>
        <w:t xml:space="preserve">, </w:t>
      </w:r>
      <w:hyperlink r:id="rId33" w:tgtFrame="_blank" w:tooltip="Zakon o finančni upravi" w:history="1">
        <w:r w:rsidR="003A2392" w:rsidRPr="00FA1FE1">
          <w:rPr>
            <w:rFonts w:cs="Arial"/>
            <w:szCs w:val="20"/>
            <w:lang w:val="sl-SI"/>
          </w:rPr>
          <w:t>25/14</w:t>
        </w:r>
      </w:hyperlink>
      <w:r w:rsidR="003A2392" w:rsidRPr="00FA1FE1">
        <w:rPr>
          <w:rFonts w:cs="Arial"/>
          <w:szCs w:val="20"/>
          <w:lang w:val="sl-SI"/>
        </w:rPr>
        <w:t xml:space="preserve"> – ZFU, </w:t>
      </w:r>
      <w:hyperlink r:id="rId34" w:tgtFrame="_blank" w:tooltip="Zakon o spremembah Zakona o sistemu plač v javnem sektorju" w:history="1">
        <w:r w:rsidR="003A2392" w:rsidRPr="00FA1FE1">
          <w:rPr>
            <w:rFonts w:cs="Arial"/>
            <w:szCs w:val="20"/>
            <w:lang w:val="sl-SI"/>
          </w:rPr>
          <w:t>50/14</w:t>
        </w:r>
      </w:hyperlink>
      <w:r w:rsidR="003A2392" w:rsidRPr="00FA1FE1">
        <w:rPr>
          <w:rFonts w:cs="Arial"/>
          <w:szCs w:val="20"/>
          <w:lang w:val="sl-SI"/>
        </w:rPr>
        <w:t xml:space="preserve">, </w:t>
      </w:r>
      <w:hyperlink r:id="rId35" w:tgtFrame="_blank" w:tooltip="Zakon o ukrepih na področju plač in drugih stroškov dela v javnem sektorju za leto 2015" w:history="1">
        <w:r w:rsidR="003A2392" w:rsidRPr="00FA1FE1">
          <w:rPr>
            <w:rFonts w:cs="Arial"/>
            <w:szCs w:val="20"/>
            <w:lang w:val="sl-SI"/>
          </w:rPr>
          <w:t>95/14</w:t>
        </w:r>
      </w:hyperlink>
      <w:r w:rsidR="003A2392" w:rsidRPr="00FA1FE1">
        <w:rPr>
          <w:rFonts w:cs="Arial"/>
          <w:szCs w:val="20"/>
          <w:lang w:val="sl-SI"/>
        </w:rPr>
        <w:t xml:space="preserve"> – ZUPPJS15, </w:t>
      </w:r>
      <w:hyperlink r:id="rId36" w:tgtFrame="_blank" w:tooltip="Zakon o dopolnitvi Zakona o sistemu plač v javnem sektorju" w:history="1">
        <w:r w:rsidR="003A2392" w:rsidRPr="00FA1FE1">
          <w:rPr>
            <w:rFonts w:cs="Arial"/>
            <w:szCs w:val="20"/>
            <w:lang w:val="sl-SI"/>
          </w:rPr>
          <w:t>82/15</w:t>
        </w:r>
      </w:hyperlink>
      <w:r w:rsidR="003A2392" w:rsidRPr="00FA1FE1">
        <w:rPr>
          <w:rFonts w:cs="Arial"/>
          <w:szCs w:val="20"/>
          <w:lang w:val="sl-SI"/>
        </w:rPr>
        <w:t xml:space="preserve">, </w:t>
      </w:r>
      <w:hyperlink r:id="rId37" w:tgtFrame="_blank" w:tooltip="Zakon o državnem odvetništvu" w:history="1">
        <w:r w:rsidR="003A2392" w:rsidRPr="00FA1FE1">
          <w:rPr>
            <w:rFonts w:cs="Arial"/>
            <w:szCs w:val="20"/>
            <w:lang w:val="sl-SI"/>
          </w:rPr>
          <w:t>23/17</w:t>
        </w:r>
      </w:hyperlink>
      <w:r w:rsidR="003A2392" w:rsidRPr="00FA1FE1">
        <w:rPr>
          <w:rFonts w:cs="Arial"/>
          <w:szCs w:val="20"/>
          <w:lang w:val="sl-SI"/>
        </w:rPr>
        <w:t xml:space="preserve"> – </w:t>
      </w:r>
      <w:proofErr w:type="spellStart"/>
      <w:r w:rsidR="003A2392" w:rsidRPr="00FA1FE1">
        <w:rPr>
          <w:rFonts w:cs="Arial"/>
          <w:szCs w:val="20"/>
          <w:lang w:val="sl-SI"/>
        </w:rPr>
        <w:t>ZDOdv</w:t>
      </w:r>
      <w:proofErr w:type="spellEnd"/>
      <w:r w:rsidR="003A2392" w:rsidRPr="00FA1FE1">
        <w:rPr>
          <w:rFonts w:cs="Arial"/>
          <w:szCs w:val="20"/>
          <w:lang w:val="sl-SI"/>
        </w:rPr>
        <w:t xml:space="preserve">, </w:t>
      </w:r>
      <w:hyperlink r:id="rId38" w:tgtFrame="_blank" w:tooltip="Zakon o spremembah Zakona o sistemu plač v javnem sektorju" w:history="1">
        <w:r w:rsidR="003A2392" w:rsidRPr="00FA1FE1">
          <w:rPr>
            <w:rFonts w:cs="Arial"/>
            <w:szCs w:val="20"/>
            <w:lang w:val="sl-SI"/>
          </w:rPr>
          <w:t>67/17</w:t>
        </w:r>
      </w:hyperlink>
      <w:r w:rsidR="003A2392" w:rsidRPr="00FA1FE1">
        <w:rPr>
          <w:rFonts w:cs="Arial"/>
          <w:szCs w:val="20"/>
          <w:lang w:val="sl-SI"/>
        </w:rPr>
        <w:t xml:space="preserve">, </w:t>
      </w:r>
      <w:hyperlink r:id="rId39" w:tgtFrame="_blank" w:tooltip="Zakon o spremembi in dopolnitvah Zakona o sistemu plač v javnem sektorju" w:history="1">
        <w:r w:rsidR="003A2392" w:rsidRPr="00FA1FE1">
          <w:rPr>
            <w:rFonts w:cs="Arial"/>
            <w:szCs w:val="20"/>
            <w:lang w:val="sl-SI"/>
          </w:rPr>
          <w:t>84/18</w:t>
        </w:r>
      </w:hyperlink>
      <w:r w:rsidR="003A2392" w:rsidRPr="00FA1FE1">
        <w:rPr>
          <w:rFonts w:cs="Arial"/>
          <w:szCs w:val="20"/>
          <w:lang w:val="sl-SI"/>
        </w:rPr>
        <w:t xml:space="preserve"> in </w:t>
      </w:r>
      <w:hyperlink r:id="rId40" w:tgtFrame="_blank" w:tooltip="Zakon o spremembi Zakona o sistemu plač v javnem sektorju" w:history="1">
        <w:r w:rsidR="003A2392" w:rsidRPr="00FA1FE1">
          <w:rPr>
            <w:rFonts w:cs="Arial"/>
            <w:szCs w:val="20"/>
            <w:lang w:val="sl-SI"/>
          </w:rPr>
          <w:t>204/21</w:t>
        </w:r>
      </w:hyperlink>
      <w:r w:rsidR="003A2392" w:rsidRPr="00FA1FE1">
        <w:rPr>
          <w:rFonts w:cs="Arial"/>
          <w:szCs w:val="20"/>
          <w:lang w:val="sl-SI"/>
        </w:rPr>
        <w:t>; v nadaljevanju: ZSPJS) se višina uskladitve vrednosti plačnih razredov za javne uslužbence se določi s kolektivno pogodbo za javni sektor (v nadaljevanju: KPJS).</w:t>
      </w:r>
    </w:p>
    <w:p w14:paraId="7D332400" w14:textId="10F85396" w:rsidR="003A2392" w:rsidRPr="00FA1FE1" w:rsidRDefault="003A2392" w:rsidP="00557704">
      <w:pPr>
        <w:spacing w:line="240" w:lineRule="exact"/>
        <w:jc w:val="both"/>
        <w:rPr>
          <w:rFonts w:cs="Arial"/>
          <w:szCs w:val="20"/>
          <w:lang w:val="sl-SI"/>
        </w:rPr>
      </w:pPr>
    </w:p>
    <w:p w14:paraId="20A9F3CD" w14:textId="390259E7" w:rsidR="00BC75D4" w:rsidRPr="00FA1FE1" w:rsidRDefault="003A2392" w:rsidP="003A2392">
      <w:pPr>
        <w:spacing w:line="240" w:lineRule="exact"/>
        <w:jc w:val="both"/>
        <w:rPr>
          <w:rFonts w:cs="Arial"/>
          <w:szCs w:val="20"/>
          <w:lang w:val="sl-SI"/>
        </w:rPr>
      </w:pPr>
      <w:r w:rsidRPr="00FA1FE1">
        <w:rPr>
          <w:rFonts w:cs="Arial"/>
          <w:szCs w:val="20"/>
          <w:lang w:val="sl-SI"/>
        </w:rPr>
        <w:t xml:space="preserve">V Aneksu št. 13 h KPJS je </w:t>
      </w:r>
      <w:r w:rsidR="00BC75D4" w:rsidRPr="00FA1FE1">
        <w:rPr>
          <w:rFonts w:cs="Arial"/>
          <w:szCs w:val="20"/>
          <w:lang w:val="sl-SI" w:eastAsia="sl-SI"/>
        </w:rPr>
        <w:t xml:space="preserve">skladno z Dogovorom </w:t>
      </w:r>
      <w:r w:rsidRPr="00FA1FE1">
        <w:rPr>
          <w:rFonts w:cs="Arial"/>
          <w:szCs w:val="20"/>
          <w:lang w:val="sl-SI"/>
        </w:rPr>
        <w:t xml:space="preserve">v </w:t>
      </w:r>
      <w:r w:rsidRPr="00FA1FE1">
        <w:rPr>
          <w:rFonts w:cs="Arial"/>
          <w:szCs w:val="20"/>
          <w:lang w:val="sl-SI" w:eastAsia="sl-SI"/>
        </w:rPr>
        <w:t xml:space="preserve">2. členu </w:t>
      </w:r>
      <w:r w:rsidR="00BC75D4" w:rsidRPr="00FA1FE1">
        <w:rPr>
          <w:rFonts w:cs="Arial"/>
          <w:szCs w:val="20"/>
          <w:lang w:val="sl-SI" w:eastAsia="sl-SI"/>
        </w:rPr>
        <w:t>določeno, da v</w:t>
      </w:r>
      <w:r w:rsidR="00BC75D4" w:rsidRPr="00FA1FE1">
        <w:rPr>
          <w:rFonts w:cs="Arial"/>
          <w:szCs w:val="20"/>
          <w:lang w:val="sl-SI"/>
        </w:rPr>
        <w:t xml:space="preserve">išina uskladitve vrednosti plačnih razredov plačne lestvice za javne uslužbence znaša 4,5 odstotkov. </w:t>
      </w:r>
    </w:p>
    <w:p w14:paraId="2A3FC3C4" w14:textId="6B460FAA" w:rsidR="00BC75D4" w:rsidRPr="00FA1FE1" w:rsidRDefault="00BC75D4" w:rsidP="003A2392">
      <w:pPr>
        <w:spacing w:line="240" w:lineRule="exact"/>
        <w:jc w:val="both"/>
        <w:rPr>
          <w:rFonts w:cs="Arial"/>
          <w:szCs w:val="20"/>
          <w:lang w:val="sl-SI"/>
        </w:rPr>
      </w:pPr>
    </w:p>
    <w:p w14:paraId="10F76A40" w14:textId="73562243" w:rsidR="00BC75D4" w:rsidRPr="00FA1FE1" w:rsidRDefault="00BC75D4" w:rsidP="003A2392">
      <w:pPr>
        <w:spacing w:line="240" w:lineRule="exact"/>
        <w:jc w:val="both"/>
        <w:rPr>
          <w:rFonts w:cs="Arial"/>
          <w:szCs w:val="20"/>
          <w:lang w:val="sl-SI"/>
        </w:rPr>
      </w:pPr>
      <w:r w:rsidRPr="00FA1FE1">
        <w:rPr>
          <w:rFonts w:cs="Arial"/>
          <w:szCs w:val="20"/>
          <w:lang w:val="sl-SI"/>
        </w:rPr>
        <w:t>V 6. členu pa je določeno, da se usklajena plačna lestvica začne uporabljati pri plači za oktober 2022.</w:t>
      </w:r>
    </w:p>
    <w:p w14:paraId="4A6D69F0" w14:textId="6285F0EE" w:rsidR="00BC75D4" w:rsidRPr="00FA1FE1" w:rsidRDefault="00BC75D4" w:rsidP="003A2392">
      <w:pPr>
        <w:spacing w:line="240" w:lineRule="exact"/>
        <w:jc w:val="both"/>
        <w:rPr>
          <w:rFonts w:cs="Arial"/>
          <w:szCs w:val="20"/>
          <w:lang w:val="sl-SI"/>
        </w:rPr>
      </w:pPr>
    </w:p>
    <w:p w14:paraId="771BD101" w14:textId="07B02AF9" w:rsidR="00BC75D4" w:rsidRDefault="00BC75D4" w:rsidP="003A2392">
      <w:pPr>
        <w:spacing w:line="240" w:lineRule="exact"/>
        <w:jc w:val="both"/>
        <w:rPr>
          <w:rFonts w:cs="Arial"/>
          <w:szCs w:val="20"/>
          <w:lang w:val="sl-SI"/>
        </w:rPr>
      </w:pPr>
      <w:r w:rsidRPr="00FA1FE1">
        <w:rPr>
          <w:rFonts w:cs="Arial"/>
          <w:szCs w:val="20"/>
          <w:lang w:val="sl-SI"/>
        </w:rPr>
        <w:lastRenderedPageBreak/>
        <w:t>Iz navedenega izhaja, da pri plačah za oktober 2022, ki bodo izplačane v mesecu novembru 2022 javnim uslužbencem izplačate osnovno plačo, ki je višja za 4,5%.</w:t>
      </w:r>
    </w:p>
    <w:p w14:paraId="0C6D505A" w14:textId="77777777" w:rsidR="004F06F8" w:rsidRPr="00FA1FE1" w:rsidRDefault="004F06F8" w:rsidP="003A2392">
      <w:pPr>
        <w:spacing w:line="240" w:lineRule="exact"/>
        <w:jc w:val="both"/>
        <w:rPr>
          <w:rFonts w:cs="Arial"/>
          <w:szCs w:val="20"/>
          <w:lang w:val="sl-SI"/>
        </w:rPr>
      </w:pPr>
    </w:p>
    <w:p w14:paraId="219DF454" w14:textId="288D3E90" w:rsidR="00BC75D4" w:rsidRDefault="00BC75D4" w:rsidP="003A2392">
      <w:pPr>
        <w:spacing w:line="240" w:lineRule="exact"/>
        <w:jc w:val="both"/>
        <w:rPr>
          <w:rFonts w:cs="Arial"/>
          <w:szCs w:val="20"/>
          <w:lang w:val="sl-SI"/>
        </w:rPr>
      </w:pPr>
      <w:r w:rsidRPr="00FA1FE1">
        <w:rPr>
          <w:rFonts w:cs="Arial"/>
          <w:szCs w:val="20"/>
          <w:lang w:val="sl-SI"/>
        </w:rPr>
        <w:t>V spodnji tabeli je prikazana plačna lestvica, v kateri so vrednosti plačnih razredov plačne lestvice višje za 4,5%. Te vrednosti se za javne uslužbence začnejo uporabljati pri plači za oktober 2022 (izplačilo plač v novembru 2022):</w:t>
      </w:r>
    </w:p>
    <w:p w14:paraId="4DA5EF81" w14:textId="71E215DB" w:rsidR="0040388C" w:rsidRDefault="0040388C" w:rsidP="003A2392">
      <w:pPr>
        <w:spacing w:line="240" w:lineRule="exact"/>
        <w:jc w:val="both"/>
        <w:rPr>
          <w:rFonts w:cs="Arial"/>
          <w:szCs w:val="20"/>
          <w:lang w:val="sl-SI"/>
        </w:rPr>
      </w:pPr>
    </w:p>
    <w:p w14:paraId="2DA31D77" w14:textId="77777777" w:rsidR="00BC75D4" w:rsidRPr="00FA1FE1" w:rsidRDefault="00BC75D4" w:rsidP="003A2392">
      <w:pPr>
        <w:spacing w:line="240" w:lineRule="exact"/>
        <w:jc w:val="both"/>
        <w:rPr>
          <w:rFonts w:cs="Arial"/>
          <w:szCs w:val="20"/>
          <w:lang w:val="sl-SI"/>
        </w:rPr>
      </w:pPr>
    </w:p>
    <w:tbl>
      <w:tblPr>
        <w:tblStyle w:val="Tabelamrea"/>
        <w:tblW w:w="7380" w:type="dxa"/>
        <w:jc w:val="center"/>
        <w:tblLook w:val="0020" w:firstRow="1" w:lastRow="0" w:firstColumn="0" w:lastColumn="0" w:noHBand="0" w:noVBand="0"/>
      </w:tblPr>
      <w:tblGrid>
        <w:gridCol w:w="900"/>
        <w:gridCol w:w="2840"/>
        <w:gridCol w:w="1640"/>
        <w:gridCol w:w="2000"/>
      </w:tblGrid>
      <w:tr w:rsidR="00BC75D4" w:rsidRPr="00BC75D4" w14:paraId="74201765" w14:textId="77777777" w:rsidTr="0040388C">
        <w:trPr>
          <w:trHeight w:val="522"/>
          <w:jc w:val="center"/>
        </w:trPr>
        <w:tc>
          <w:tcPr>
            <w:tcW w:w="900" w:type="dxa"/>
            <w:hideMark/>
          </w:tcPr>
          <w:p w14:paraId="6B060FCF"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Plačni razred</w:t>
            </w:r>
          </w:p>
        </w:tc>
        <w:tc>
          <w:tcPr>
            <w:tcW w:w="2840" w:type="dxa"/>
            <w:hideMark/>
          </w:tcPr>
          <w:p w14:paraId="629958A1"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Osnovna plača</w:t>
            </w:r>
          </w:p>
          <w:p w14:paraId="2FEA1000"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(v EUR)</w:t>
            </w:r>
          </w:p>
        </w:tc>
        <w:tc>
          <w:tcPr>
            <w:tcW w:w="1640" w:type="dxa"/>
            <w:hideMark/>
          </w:tcPr>
          <w:p w14:paraId="41749EFA"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Plačni razred</w:t>
            </w:r>
          </w:p>
        </w:tc>
        <w:tc>
          <w:tcPr>
            <w:tcW w:w="2000" w:type="dxa"/>
            <w:hideMark/>
          </w:tcPr>
          <w:p w14:paraId="3203A188"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Osnovna plača</w:t>
            </w:r>
          </w:p>
          <w:p w14:paraId="5058A789" w14:textId="77777777" w:rsidR="00BC75D4" w:rsidRPr="00BC75D4" w:rsidRDefault="00BC75D4" w:rsidP="00BC75D4">
            <w:pPr>
              <w:spacing w:line="240" w:lineRule="exact"/>
              <w:jc w:val="both"/>
              <w:rPr>
                <w:rFonts w:cs="Arial"/>
                <w:szCs w:val="20"/>
                <w:lang w:val="sl-SI"/>
              </w:rPr>
            </w:pPr>
            <w:r w:rsidRPr="00BC75D4">
              <w:rPr>
                <w:rFonts w:cs="Arial"/>
                <w:b/>
                <w:bCs/>
                <w:szCs w:val="20"/>
                <w:lang w:val="sl-SI"/>
              </w:rPr>
              <w:t>(v EUR)</w:t>
            </w:r>
          </w:p>
        </w:tc>
      </w:tr>
      <w:tr w:rsidR="00BC75D4" w:rsidRPr="00BC75D4" w14:paraId="5670745C" w14:textId="77777777" w:rsidTr="0040388C">
        <w:trPr>
          <w:trHeight w:val="236"/>
          <w:jc w:val="center"/>
        </w:trPr>
        <w:tc>
          <w:tcPr>
            <w:tcW w:w="900" w:type="dxa"/>
            <w:hideMark/>
          </w:tcPr>
          <w:p w14:paraId="0E2E7BB9" w14:textId="77777777" w:rsidR="00BC75D4" w:rsidRPr="00BC75D4" w:rsidRDefault="00BC75D4" w:rsidP="00BC75D4">
            <w:pPr>
              <w:spacing w:line="240" w:lineRule="exact"/>
              <w:jc w:val="both"/>
              <w:rPr>
                <w:rFonts w:cs="Arial"/>
                <w:szCs w:val="20"/>
                <w:lang w:val="sl-SI"/>
              </w:rPr>
            </w:pPr>
            <w:r w:rsidRPr="00BC75D4">
              <w:rPr>
                <w:rFonts w:cs="Arial"/>
                <w:szCs w:val="20"/>
                <w:lang w:val="sl-SI"/>
              </w:rPr>
              <w:t>1</w:t>
            </w:r>
          </w:p>
        </w:tc>
        <w:tc>
          <w:tcPr>
            <w:tcW w:w="2840" w:type="dxa"/>
            <w:hideMark/>
          </w:tcPr>
          <w:p w14:paraId="284D2FC4" w14:textId="77777777" w:rsidR="00BC75D4" w:rsidRPr="00BC75D4" w:rsidRDefault="00BC75D4" w:rsidP="00BC75D4">
            <w:pPr>
              <w:spacing w:line="240" w:lineRule="exact"/>
              <w:jc w:val="both"/>
              <w:rPr>
                <w:rFonts w:cs="Arial"/>
                <w:szCs w:val="20"/>
                <w:lang w:val="sl-SI"/>
              </w:rPr>
            </w:pPr>
            <w:r w:rsidRPr="00BC75D4">
              <w:rPr>
                <w:rFonts w:cs="Arial"/>
                <w:szCs w:val="20"/>
                <w:lang w:val="sl-SI"/>
              </w:rPr>
              <w:t>460,20</w:t>
            </w:r>
          </w:p>
        </w:tc>
        <w:tc>
          <w:tcPr>
            <w:tcW w:w="1640" w:type="dxa"/>
            <w:hideMark/>
          </w:tcPr>
          <w:p w14:paraId="342E3796" w14:textId="77777777" w:rsidR="00BC75D4" w:rsidRPr="00BC75D4" w:rsidRDefault="00BC75D4" w:rsidP="00BC75D4">
            <w:pPr>
              <w:spacing w:line="240" w:lineRule="exact"/>
              <w:jc w:val="both"/>
              <w:rPr>
                <w:rFonts w:cs="Arial"/>
                <w:szCs w:val="20"/>
                <w:lang w:val="sl-SI"/>
              </w:rPr>
            </w:pPr>
            <w:r w:rsidRPr="00BC75D4">
              <w:rPr>
                <w:rFonts w:cs="Arial"/>
                <w:szCs w:val="20"/>
                <w:lang w:val="sl-SI"/>
              </w:rPr>
              <w:t>34</w:t>
            </w:r>
          </w:p>
        </w:tc>
        <w:tc>
          <w:tcPr>
            <w:tcW w:w="2000" w:type="dxa"/>
            <w:hideMark/>
          </w:tcPr>
          <w:p w14:paraId="6C1756F9" w14:textId="77777777" w:rsidR="00BC75D4" w:rsidRPr="00BC75D4" w:rsidRDefault="00BC75D4" w:rsidP="00BC75D4">
            <w:pPr>
              <w:spacing w:line="240" w:lineRule="exact"/>
              <w:jc w:val="both"/>
              <w:rPr>
                <w:rFonts w:cs="Arial"/>
                <w:szCs w:val="20"/>
                <w:lang w:val="sl-SI"/>
              </w:rPr>
            </w:pPr>
            <w:r w:rsidRPr="00BC75D4">
              <w:rPr>
                <w:rFonts w:cs="Arial"/>
                <w:szCs w:val="20"/>
                <w:lang w:val="sl-SI"/>
              </w:rPr>
              <w:t>1678,98</w:t>
            </w:r>
          </w:p>
        </w:tc>
      </w:tr>
      <w:tr w:rsidR="00BC75D4" w:rsidRPr="00BC75D4" w14:paraId="27FC674E" w14:textId="77777777" w:rsidTr="0040388C">
        <w:trPr>
          <w:trHeight w:val="236"/>
          <w:jc w:val="center"/>
        </w:trPr>
        <w:tc>
          <w:tcPr>
            <w:tcW w:w="900" w:type="dxa"/>
            <w:hideMark/>
          </w:tcPr>
          <w:p w14:paraId="332CC876" w14:textId="77777777" w:rsidR="00BC75D4" w:rsidRPr="00BC75D4" w:rsidRDefault="00BC75D4" w:rsidP="00BC75D4">
            <w:pPr>
              <w:spacing w:line="240" w:lineRule="exact"/>
              <w:jc w:val="both"/>
              <w:rPr>
                <w:rFonts w:cs="Arial"/>
                <w:szCs w:val="20"/>
                <w:lang w:val="sl-SI"/>
              </w:rPr>
            </w:pPr>
            <w:r w:rsidRPr="00BC75D4">
              <w:rPr>
                <w:rFonts w:cs="Arial"/>
                <w:szCs w:val="20"/>
                <w:lang w:val="sl-SI"/>
              </w:rPr>
              <w:t>2</w:t>
            </w:r>
          </w:p>
        </w:tc>
        <w:tc>
          <w:tcPr>
            <w:tcW w:w="2840" w:type="dxa"/>
            <w:hideMark/>
          </w:tcPr>
          <w:p w14:paraId="581324F1" w14:textId="77777777" w:rsidR="00BC75D4" w:rsidRPr="00BC75D4" w:rsidRDefault="00BC75D4" w:rsidP="00BC75D4">
            <w:pPr>
              <w:spacing w:line="240" w:lineRule="exact"/>
              <w:jc w:val="both"/>
              <w:rPr>
                <w:rFonts w:cs="Arial"/>
                <w:szCs w:val="20"/>
                <w:lang w:val="sl-SI"/>
              </w:rPr>
            </w:pPr>
            <w:r w:rsidRPr="00BC75D4">
              <w:rPr>
                <w:rFonts w:cs="Arial"/>
                <w:szCs w:val="20"/>
                <w:lang w:val="sl-SI"/>
              </w:rPr>
              <w:t>478,61</w:t>
            </w:r>
          </w:p>
        </w:tc>
        <w:tc>
          <w:tcPr>
            <w:tcW w:w="1640" w:type="dxa"/>
            <w:hideMark/>
          </w:tcPr>
          <w:p w14:paraId="717D15BA" w14:textId="77777777" w:rsidR="00BC75D4" w:rsidRPr="00BC75D4" w:rsidRDefault="00BC75D4" w:rsidP="00BC75D4">
            <w:pPr>
              <w:spacing w:line="240" w:lineRule="exact"/>
              <w:jc w:val="both"/>
              <w:rPr>
                <w:rFonts w:cs="Arial"/>
                <w:szCs w:val="20"/>
                <w:lang w:val="sl-SI"/>
              </w:rPr>
            </w:pPr>
            <w:r w:rsidRPr="00BC75D4">
              <w:rPr>
                <w:rFonts w:cs="Arial"/>
                <w:szCs w:val="20"/>
                <w:lang w:val="sl-SI"/>
              </w:rPr>
              <w:t>35</w:t>
            </w:r>
          </w:p>
        </w:tc>
        <w:tc>
          <w:tcPr>
            <w:tcW w:w="2000" w:type="dxa"/>
            <w:hideMark/>
          </w:tcPr>
          <w:p w14:paraId="66B77B27" w14:textId="77777777" w:rsidR="00BC75D4" w:rsidRPr="00BC75D4" w:rsidRDefault="00BC75D4" w:rsidP="00BC75D4">
            <w:pPr>
              <w:spacing w:line="240" w:lineRule="exact"/>
              <w:jc w:val="both"/>
              <w:rPr>
                <w:rFonts w:cs="Arial"/>
                <w:szCs w:val="20"/>
                <w:lang w:val="sl-SI"/>
              </w:rPr>
            </w:pPr>
            <w:r w:rsidRPr="00BC75D4">
              <w:rPr>
                <w:rFonts w:cs="Arial"/>
                <w:szCs w:val="20"/>
                <w:lang w:val="sl-SI"/>
              </w:rPr>
              <w:t>1746,13</w:t>
            </w:r>
          </w:p>
        </w:tc>
      </w:tr>
      <w:tr w:rsidR="00BC75D4" w:rsidRPr="00BC75D4" w14:paraId="6C293012" w14:textId="77777777" w:rsidTr="0040388C">
        <w:trPr>
          <w:trHeight w:val="236"/>
          <w:jc w:val="center"/>
        </w:trPr>
        <w:tc>
          <w:tcPr>
            <w:tcW w:w="900" w:type="dxa"/>
            <w:hideMark/>
          </w:tcPr>
          <w:p w14:paraId="1913D08A" w14:textId="77777777" w:rsidR="00BC75D4" w:rsidRPr="00BC75D4" w:rsidRDefault="00BC75D4" w:rsidP="00BC75D4">
            <w:pPr>
              <w:spacing w:line="240" w:lineRule="exact"/>
              <w:jc w:val="both"/>
              <w:rPr>
                <w:rFonts w:cs="Arial"/>
                <w:szCs w:val="20"/>
                <w:lang w:val="sl-SI"/>
              </w:rPr>
            </w:pPr>
            <w:r w:rsidRPr="00BC75D4">
              <w:rPr>
                <w:rFonts w:cs="Arial"/>
                <w:szCs w:val="20"/>
                <w:lang w:val="sl-SI"/>
              </w:rPr>
              <w:t>3</w:t>
            </w:r>
          </w:p>
        </w:tc>
        <w:tc>
          <w:tcPr>
            <w:tcW w:w="2840" w:type="dxa"/>
            <w:hideMark/>
          </w:tcPr>
          <w:p w14:paraId="2833F043" w14:textId="77777777" w:rsidR="00BC75D4" w:rsidRPr="00BC75D4" w:rsidRDefault="00BC75D4" w:rsidP="00BC75D4">
            <w:pPr>
              <w:spacing w:line="240" w:lineRule="exact"/>
              <w:jc w:val="both"/>
              <w:rPr>
                <w:rFonts w:cs="Arial"/>
                <w:szCs w:val="20"/>
                <w:lang w:val="sl-SI"/>
              </w:rPr>
            </w:pPr>
            <w:r w:rsidRPr="00BC75D4">
              <w:rPr>
                <w:rFonts w:cs="Arial"/>
                <w:szCs w:val="20"/>
                <w:lang w:val="sl-SI"/>
              </w:rPr>
              <w:t>497,74</w:t>
            </w:r>
          </w:p>
        </w:tc>
        <w:tc>
          <w:tcPr>
            <w:tcW w:w="1640" w:type="dxa"/>
            <w:hideMark/>
          </w:tcPr>
          <w:p w14:paraId="6B9501AB" w14:textId="77777777" w:rsidR="00BC75D4" w:rsidRPr="00BC75D4" w:rsidRDefault="00BC75D4" w:rsidP="00BC75D4">
            <w:pPr>
              <w:spacing w:line="240" w:lineRule="exact"/>
              <w:jc w:val="both"/>
              <w:rPr>
                <w:rFonts w:cs="Arial"/>
                <w:szCs w:val="20"/>
                <w:lang w:val="sl-SI"/>
              </w:rPr>
            </w:pPr>
            <w:r w:rsidRPr="00BC75D4">
              <w:rPr>
                <w:rFonts w:cs="Arial"/>
                <w:szCs w:val="20"/>
                <w:lang w:val="sl-SI"/>
              </w:rPr>
              <w:t>36</w:t>
            </w:r>
          </w:p>
        </w:tc>
        <w:tc>
          <w:tcPr>
            <w:tcW w:w="2000" w:type="dxa"/>
            <w:hideMark/>
          </w:tcPr>
          <w:p w14:paraId="4E6DFA53" w14:textId="77777777" w:rsidR="00BC75D4" w:rsidRPr="00BC75D4" w:rsidRDefault="00BC75D4" w:rsidP="00BC75D4">
            <w:pPr>
              <w:spacing w:line="240" w:lineRule="exact"/>
              <w:jc w:val="both"/>
              <w:rPr>
                <w:rFonts w:cs="Arial"/>
                <w:szCs w:val="20"/>
                <w:lang w:val="sl-SI"/>
              </w:rPr>
            </w:pPr>
            <w:r w:rsidRPr="00BC75D4">
              <w:rPr>
                <w:rFonts w:cs="Arial"/>
                <w:szCs w:val="20"/>
                <w:lang w:val="sl-SI"/>
              </w:rPr>
              <w:t>1815,99</w:t>
            </w:r>
          </w:p>
        </w:tc>
      </w:tr>
      <w:tr w:rsidR="00BC75D4" w:rsidRPr="00BC75D4" w14:paraId="09B68AC9" w14:textId="77777777" w:rsidTr="0040388C">
        <w:trPr>
          <w:trHeight w:val="236"/>
          <w:jc w:val="center"/>
        </w:trPr>
        <w:tc>
          <w:tcPr>
            <w:tcW w:w="900" w:type="dxa"/>
            <w:hideMark/>
          </w:tcPr>
          <w:p w14:paraId="03260E4A" w14:textId="77777777" w:rsidR="00BC75D4" w:rsidRPr="00BC75D4" w:rsidRDefault="00BC75D4" w:rsidP="00BC75D4">
            <w:pPr>
              <w:spacing w:line="240" w:lineRule="exact"/>
              <w:jc w:val="both"/>
              <w:rPr>
                <w:rFonts w:cs="Arial"/>
                <w:szCs w:val="20"/>
                <w:lang w:val="sl-SI"/>
              </w:rPr>
            </w:pPr>
            <w:r w:rsidRPr="00BC75D4">
              <w:rPr>
                <w:rFonts w:cs="Arial"/>
                <w:szCs w:val="20"/>
                <w:lang w:val="sl-SI"/>
              </w:rPr>
              <w:t>4</w:t>
            </w:r>
          </w:p>
        </w:tc>
        <w:tc>
          <w:tcPr>
            <w:tcW w:w="2840" w:type="dxa"/>
            <w:hideMark/>
          </w:tcPr>
          <w:p w14:paraId="65FEE826" w14:textId="77777777" w:rsidR="00BC75D4" w:rsidRPr="00BC75D4" w:rsidRDefault="00BC75D4" w:rsidP="00BC75D4">
            <w:pPr>
              <w:spacing w:line="240" w:lineRule="exact"/>
              <w:jc w:val="both"/>
              <w:rPr>
                <w:rFonts w:cs="Arial"/>
                <w:szCs w:val="20"/>
                <w:lang w:val="sl-SI"/>
              </w:rPr>
            </w:pPr>
            <w:r w:rsidRPr="00BC75D4">
              <w:rPr>
                <w:rFonts w:cs="Arial"/>
                <w:szCs w:val="20"/>
                <w:lang w:val="sl-SI"/>
              </w:rPr>
              <w:t>517,66</w:t>
            </w:r>
          </w:p>
        </w:tc>
        <w:tc>
          <w:tcPr>
            <w:tcW w:w="1640" w:type="dxa"/>
            <w:hideMark/>
          </w:tcPr>
          <w:p w14:paraId="7F1CEDA5" w14:textId="77777777" w:rsidR="00BC75D4" w:rsidRPr="00BC75D4" w:rsidRDefault="00BC75D4" w:rsidP="00BC75D4">
            <w:pPr>
              <w:spacing w:line="240" w:lineRule="exact"/>
              <w:jc w:val="both"/>
              <w:rPr>
                <w:rFonts w:cs="Arial"/>
                <w:szCs w:val="20"/>
                <w:lang w:val="sl-SI"/>
              </w:rPr>
            </w:pPr>
            <w:r w:rsidRPr="00BC75D4">
              <w:rPr>
                <w:rFonts w:cs="Arial"/>
                <w:szCs w:val="20"/>
                <w:lang w:val="sl-SI"/>
              </w:rPr>
              <w:t>37</w:t>
            </w:r>
          </w:p>
        </w:tc>
        <w:tc>
          <w:tcPr>
            <w:tcW w:w="2000" w:type="dxa"/>
            <w:hideMark/>
          </w:tcPr>
          <w:p w14:paraId="13D5BCBE" w14:textId="77777777" w:rsidR="00BC75D4" w:rsidRPr="00BC75D4" w:rsidRDefault="00BC75D4" w:rsidP="00BC75D4">
            <w:pPr>
              <w:spacing w:line="240" w:lineRule="exact"/>
              <w:jc w:val="both"/>
              <w:rPr>
                <w:rFonts w:cs="Arial"/>
                <w:szCs w:val="20"/>
                <w:lang w:val="sl-SI"/>
              </w:rPr>
            </w:pPr>
            <w:r w:rsidRPr="00BC75D4">
              <w:rPr>
                <w:rFonts w:cs="Arial"/>
                <w:szCs w:val="20"/>
                <w:lang w:val="sl-SI"/>
              </w:rPr>
              <w:t>1888,62</w:t>
            </w:r>
          </w:p>
        </w:tc>
      </w:tr>
      <w:tr w:rsidR="00BC75D4" w:rsidRPr="00BC75D4" w14:paraId="443F48AD" w14:textId="77777777" w:rsidTr="0040388C">
        <w:trPr>
          <w:trHeight w:val="236"/>
          <w:jc w:val="center"/>
        </w:trPr>
        <w:tc>
          <w:tcPr>
            <w:tcW w:w="900" w:type="dxa"/>
            <w:hideMark/>
          </w:tcPr>
          <w:p w14:paraId="3AF6F89E" w14:textId="77777777" w:rsidR="00BC75D4" w:rsidRPr="00BC75D4" w:rsidRDefault="00BC75D4" w:rsidP="00BC75D4">
            <w:pPr>
              <w:spacing w:line="240" w:lineRule="exact"/>
              <w:jc w:val="both"/>
              <w:rPr>
                <w:rFonts w:cs="Arial"/>
                <w:szCs w:val="20"/>
                <w:lang w:val="sl-SI"/>
              </w:rPr>
            </w:pPr>
            <w:r w:rsidRPr="00BC75D4">
              <w:rPr>
                <w:rFonts w:cs="Arial"/>
                <w:szCs w:val="20"/>
                <w:lang w:val="sl-SI"/>
              </w:rPr>
              <w:t>5</w:t>
            </w:r>
          </w:p>
        </w:tc>
        <w:tc>
          <w:tcPr>
            <w:tcW w:w="2840" w:type="dxa"/>
            <w:hideMark/>
          </w:tcPr>
          <w:p w14:paraId="2FAC96B2" w14:textId="77777777" w:rsidR="00BC75D4" w:rsidRPr="00BC75D4" w:rsidRDefault="00BC75D4" w:rsidP="00BC75D4">
            <w:pPr>
              <w:spacing w:line="240" w:lineRule="exact"/>
              <w:jc w:val="both"/>
              <w:rPr>
                <w:rFonts w:cs="Arial"/>
                <w:szCs w:val="20"/>
                <w:lang w:val="sl-SI"/>
              </w:rPr>
            </w:pPr>
            <w:r w:rsidRPr="00BC75D4">
              <w:rPr>
                <w:rFonts w:cs="Arial"/>
                <w:szCs w:val="20"/>
                <w:lang w:val="sl-SI"/>
              </w:rPr>
              <w:t>538,36</w:t>
            </w:r>
          </w:p>
        </w:tc>
        <w:tc>
          <w:tcPr>
            <w:tcW w:w="1640" w:type="dxa"/>
            <w:hideMark/>
          </w:tcPr>
          <w:p w14:paraId="0B1E0794" w14:textId="77777777" w:rsidR="00BC75D4" w:rsidRPr="00BC75D4" w:rsidRDefault="00BC75D4" w:rsidP="00BC75D4">
            <w:pPr>
              <w:spacing w:line="240" w:lineRule="exact"/>
              <w:jc w:val="both"/>
              <w:rPr>
                <w:rFonts w:cs="Arial"/>
                <w:szCs w:val="20"/>
                <w:lang w:val="sl-SI"/>
              </w:rPr>
            </w:pPr>
            <w:r w:rsidRPr="00BC75D4">
              <w:rPr>
                <w:rFonts w:cs="Arial"/>
                <w:szCs w:val="20"/>
                <w:lang w:val="sl-SI"/>
              </w:rPr>
              <w:t>38</w:t>
            </w:r>
          </w:p>
        </w:tc>
        <w:tc>
          <w:tcPr>
            <w:tcW w:w="2000" w:type="dxa"/>
            <w:hideMark/>
          </w:tcPr>
          <w:p w14:paraId="1A15753C" w14:textId="77777777" w:rsidR="00BC75D4" w:rsidRPr="00BC75D4" w:rsidRDefault="00BC75D4" w:rsidP="00BC75D4">
            <w:pPr>
              <w:spacing w:line="240" w:lineRule="exact"/>
              <w:jc w:val="both"/>
              <w:rPr>
                <w:rFonts w:cs="Arial"/>
                <w:szCs w:val="20"/>
                <w:lang w:val="sl-SI"/>
              </w:rPr>
            </w:pPr>
            <w:r w:rsidRPr="00BC75D4">
              <w:rPr>
                <w:rFonts w:cs="Arial"/>
                <w:szCs w:val="20"/>
                <w:lang w:val="sl-SI"/>
              </w:rPr>
              <w:t>1964,17</w:t>
            </w:r>
          </w:p>
        </w:tc>
      </w:tr>
      <w:tr w:rsidR="00BC75D4" w:rsidRPr="00BC75D4" w14:paraId="75CD0CD5" w14:textId="77777777" w:rsidTr="0040388C">
        <w:trPr>
          <w:trHeight w:val="236"/>
          <w:jc w:val="center"/>
        </w:trPr>
        <w:tc>
          <w:tcPr>
            <w:tcW w:w="900" w:type="dxa"/>
            <w:hideMark/>
          </w:tcPr>
          <w:p w14:paraId="4AD3F26F" w14:textId="77777777" w:rsidR="00BC75D4" w:rsidRPr="00BC75D4" w:rsidRDefault="00BC75D4" w:rsidP="00BC75D4">
            <w:pPr>
              <w:spacing w:line="240" w:lineRule="exact"/>
              <w:jc w:val="both"/>
              <w:rPr>
                <w:rFonts w:cs="Arial"/>
                <w:szCs w:val="20"/>
                <w:lang w:val="sl-SI"/>
              </w:rPr>
            </w:pPr>
            <w:r w:rsidRPr="00BC75D4">
              <w:rPr>
                <w:rFonts w:cs="Arial"/>
                <w:szCs w:val="20"/>
                <w:lang w:val="sl-SI"/>
              </w:rPr>
              <w:t>6</w:t>
            </w:r>
          </w:p>
        </w:tc>
        <w:tc>
          <w:tcPr>
            <w:tcW w:w="2840" w:type="dxa"/>
            <w:hideMark/>
          </w:tcPr>
          <w:p w14:paraId="40086125" w14:textId="77777777" w:rsidR="00BC75D4" w:rsidRPr="00BC75D4" w:rsidRDefault="00BC75D4" w:rsidP="00BC75D4">
            <w:pPr>
              <w:spacing w:line="240" w:lineRule="exact"/>
              <w:jc w:val="both"/>
              <w:rPr>
                <w:rFonts w:cs="Arial"/>
                <w:szCs w:val="20"/>
                <w:lang w:val="sl-SI"/>
              </w:rPr>
            </w:pPr>
            <w:r w:rsidRPr="00BC75D4">
              <w:rPr>
                <w:rFonts w:cs="Arial"/>
                <w:szCs w:val="20"/>
                <w:lang w:val="sl-SI"/>
              </w:rPr>
              <w:t>559,91</w:t>
            </w:r>
          </w:p>
        </w:tc>
        <w:tc>
          <w:tcPr>
            <w:tcW w:w="1640" w:type="dxa"/>
            <w:hideMark/>
          </w:tcPr>
          <w:p w14:paraId="1C839399" w14:textId="77777777" w:rsidR="00BC75D4" w:rsidRPr="00BC75D4" w:rsidRDefault="00BC75D4" w:rsidP="00BC75D4">
            <w:pPr>
              <w:spacing w:line="240" w:lineRule="exact"/>
              <w:jc w:val="both"/>
              <w:rPr>
                <w:rFonts w:cs="Arial"/>
                <w:szCs w:val="20"/>
                <w:lang w:val="sl-SI"/>
              </w:rPr>
            </w:pPr>
            <w:r w:rsidRPr="00BC75D4">
              <w:rPr>
                <w:rFonts w:cs="Arial"/>
                <w:szCs w:val="20"/>
                <w:lang w:val="sl-SI"/>
              </w:rPr>
              <w:t>39</w:t>
            </w:r>
          </w:p>
        </w:tc>
        <w:tc>
          <w:tcPr>
            <w:tcW w:w="2000" w:type="dxa"/>
            <w:hideMark/>
          </w:tcPr>
          <w:p w14:paraId="7EC20F2C" w14:textId="77777777" w:rsidR="00BC75D4" w:rsidRPr="00BC75D4" w:rsidRDefault="00BC75D4" w:rsidP="00BC75D4">
            <w:pPr>
              <w:spacing w:line="240" w:lineRule="exact"/>
              <w:jc w:val="both"/>
              <w:rPr>
                <w:rFonts w:cs="Arial"/>
                <w:szCs w:val="20"/>
                <w:lang w:val="sl-SI"/>
              </w:rPr>
            </w:pPr>
            <w:r w:rsidRPr="00BC75D4">
              <w:rPr>
                <w:rFonts w:cs="Arial"/>
                <w:szCs w:val="20"/>
                <w:lang w:val="sl-SI"/>
              </w:rPr>
              <w:t>2042,75</w:t>
            </w:r>
          </w:p>
        </w:tc>
      </w:tr>
      <w:tr w:rsidR="00BC75D4" w:rsidRPr="00BC75D4" w14:paraId="0DBD77F6" w14:textId="77777777" w:rsidTr="0040388C">
        <w:trPr>
          <w:trHeight w:val="236"/>
          <w:jc w:val="center"/>
        </w:trPr>
        <w:tc>
          <w:tcPr>
            <w:tcW w:w="900" w:type="dxa"/>
            <w:hideMark/>
          </w:tcPr>
          <w:p w14:paraId="56723F57" w14:textId="77777777" w:rsidR="00BC75D4" w:rsidRPr="00BC75D4" w:rsidRDefault="00BC75D4" w:rsidP="00BC75D4">
            <w:pPr>
              <w:spacing w:line="240" w:lineRule="exact"/>
              <w:jc w:val="both"/>
              <w:rPr>
                <w:rFonts w:cs="Arial"/>
                <w:szCs w:val="20"/>
                <w:lang w:val="sl-SI"/>
              </w:rPr>
            </w:pPr>
            <w:r w:rsidRPr="00BC75D4">
              <w:rPr>
                <w:rFonts w:cs="Arial"/>
                <w:szCs w:val="20"/>
                <w:lang w:val="sl-SI"/>
              </w:rPr>
              <w:t>7</w:t>
            </w:r>
          </w:p>
        </w:tc>
        <w:tc>
          <w:tcPr>
            <w:tcW w:w="2840" w:type="dxa"/>
            <w:hideMark/>
          </w:tcPr>
          <w:p w14:paraId="77F4BF19" w14:textId="77777777" w:rsidR="00BC75D4" w:rsidRPr="00BC75D4" w:rsidRDefault="00BC75D4" w:rsidP="00BC75D4">
            <w:pPr>
              <w:spacing w:line="240" w:lineRule="exact"/>
              <w:jc w:val="both"/>
              <w:rPr>
                <w:rFonts w:cs="Arial"/>
                <w:szCs w:val="20"/>
                <w:lang w:val="sl-SI"/>
              </w:rPr>
            </w:pPr>
            <w:r w:rsidRPr="00BC75D4">
              <w:rPr>
                <w:rFonts w:cs="Arial"/>
                <w:szCs w:val="20"/>
                <w:lang w:val="sl-SI"/>
              </w:rPr>
              <w:t>582,28</w:t>
            </w:r>
          </w:p>
        </w:tc>
        <w:tc>
          <w:tcPr>
            <w:tcW w:w="1640" w:type="dxa"/>
            <w:hideMark/>
          </w:tcPr>
          <w:p w14:paraId="035421C4" w14:textId="77777777" w:rsidR="00BC75D4" w:rsidRPr="00BC75D4" w:rsidRDefault="00BC75D4" w:rsidP="00BC75D4">
            <w:pPr>
              <w:spacing w:line="240" w:lineRule="exact"/>
              <w:jc w:val="both"/>
              <w:rPr>
                <w:rFonts w:cs="Arial"/>
                <w:szCs w:val="20"/>
                <w:lang w:val="sl-SI"/>
              </w:rPr>
            </w:pPr>
            <w:r w:rsidRPr="00BC75D4">
              <w:rPr>
                <w:rFonts w:cs="Arial"/>
                <w:szCs w:val="20"/>
                <w:lang w:val="sl-SI"/>
              </w:rPr>
              <w:t>40</w:t>
            </w:r>
          </w:p>
        </w:tc>
        <w:tc>
          <w:tcPr>
            <w:tcW w:w="2000" w:type="dxa"/>
            <w:hideMark/>
          </w:tcPr>
          <w:p w14:paraId="4D9FFD19" w14:textId="77777777" w:rsidR="00BC75D4" w:rsidRPr="00BC75D4" w:rsidRDefault="00BC75D4" w:rsidP="00BC75D4">
            <w:pPr>
              <w:spacing w:line="240" w:lineRule="exact"/>
              <w:jc w:val="both"/>
              <w:rPr>
                <w:rFonts w:cs="Arial"/>
                <w:szCs w:val="20"/>
                <w:lang w:val="sl-SI"/>
              </w:rPr>
            </w:pPr>
            <w:r w:rsidRPr="00BC75D4">
              <w:rPr>
                <w:rFonts w:cs="Arial"/>
                <w:szCs w:val="20"/>
                <w:lang w:val="sl-SI"/>
              </w:rPr>
              <w:t>2124,46</w:t>
            </w:r>
          </w:p>
        </w:tc>
      </w:tr>
      <w:tr w:rsidR="00BC75D4" w:rsidRPr="00BC75D4" w14:paraId="51601037" w14:textId="77777777" w:rsidTr="0040388C">
        <w:trPr>
          <w:trHeight w:val="236"/>
          <w:jc w:val="center"/>
        </w:trPr>
        <w:tc>
          <w:tcPr>
            <w:tcW w:w="900" w:type="dxa"/>
            <w:hideMark/>
          </w:tcPr>
          <w:p w14:paraId="38AFD49C" w14:textId="77777777" w:rsidR="00BC75D4" w:rsidRPr="00BC75D4" w:rsidRDefault="00BC75D4" w:rsidP="00BC75D4">
            <w:pPr>
              <w:spacing w:line="240" w:lineRule="exact"/>
              <w:jc w:val="both"/>
              <w:rPr>
                <w:rFonts w:cs="Arial"/>
                <w:szCs w:val="20"/>
                <w:lang w:val="sl-SI"/>
              </w:rPr>
            </w:pPr>
            <w:r w:rsidRPr="00BC75D4">
              <w:rPr>
                <w:rFonts w:cs="Arial"/>
                <w:szCs w:val="20"/>
                <w:lang w:val="sl-SI"/>
              </w:rPr>
              <w:t>8</w:t>
            </w:r>
          </w:p>
        </w:tc>
        <w:tc>
          <w:tcPr>
            <w:tcW w:w="2840" w:type="dxa"/>
            <w:hideMark/>
          </w:tcPr>
          <w:p w14:paraId="4C7C4002" w14:textId="77777777" w:rsidR="00BC75D4" w:rsidRPr="00BC75D4" w:rsidRDefault="00BC75D4" w:rsidP="00BC75D4">
            <w:pPr>
              <w:spacing w:line="240" w:lineRule="exact"/>
              <w:jc w:val="both"/>
              <w:rPr>
                <w:rFonts w:cs="Arial"/>
                <w:szCs w:val="20"/>
                <w:lang w:val="sl-SI"/>
              </w:rPr>
            </w:pPr>
            <w:r w:rsidRPr="00BC75D4">
              <w:rPr>
                <w:rFonts w:cs="Arial"/>
                <w:szCs w:val="20"/>
                <w:lang w:val="sl-SI"/>
              </w:rPr>
              <w:t>605,59</w:t>
            </w:r>
          </w:p>
        </w:tc>
        <w:tc>
          <w:tcPr>
            <w:tcW w:w="1640" w:type="dxa"/>
            <w:hideMark/>
          </w:tcPr>
          <w:p w14:paraId="55B076AD" w14:textId="77777777" w:rsidR="00BC75D4" w:rsidRPr="00BC75D4" w:rsidRDefault="00BC75D4" w:rsidP="00BC75D4">
            <w:pPr>
              <w:spacing w:line="240" w:lineRule="exact"/>
              <w:jc w:val="both"/>
              <w:rPr>
                <w:rFonts w:cs="Arial"/>
                <w:szCs w:val="20"/>
                <w:lang w:val="sl-SI"/>
              </w:rPr>
            </w:pPr>
            <w:r w:rsidRPr="00BC75D4">
              <w:rPr>
                <w:rFonts w:cs="Arial"/>
                <w:szCs w:val="20"/>
                <w:lang w:val="sl-SI"/>
              </w:rPr>
              <w:t>41</w:t>
            </w:r>
          </w:p>
        </w:tc>
        <w:tc>
          <w:tcPr>
            <w:tcW w:w="2000" w:type="dxa"/>
            <w:hideMark/>
          </w:tcPr>
          <w:p w14:paraId="6DC59E8A" w14:textId="77777777" w:rsidR="00BC75D4" w:rsidRPr="00BC75D4" w:rsidRDefault="00BC75D4" w:rsidP="00BC75D4">
            <w:pPr>
              <w:spacing w:line="240" w:lineRule="exact"/>
              <w:jc w:val="both"/>
              <w:rPr>
                <w:rFonts w:cs="Arial"/>
                <w:szCs w:val="20"/>
                <w:lang w:val="sl-SI"/>
              </w:rPr>
            </w:pPr>
            <w:r w:rsidRPr="00BC75D4">
              <w:rPr>
                <w:rFonts w:cs="Arial"/>
                <w:szCs w:val="20"/>
                <w:lang w:val="sl-SI"/>
              </w:rPr>
              <w:t>2209,43</w:t>
            </w:r>
          </w:p>
        </w:tc>
      </w:tr>
      <w:tr w:rsidR="00BC75D4" w:rsidRPr="00BC75D4" w14:paraId="3946648D" w14:textId="77777777" w:rsidTr="0040388C">
        <w:trPr>
          <w:trHeight w:val="236"/>
          <w:jc w:val="center"/>
        </w:trPr>
        <w:tc>
          <w:tcPr>
            <w:tcW w:w="900" w:type="dxa"/>
            <w:hideMark/>
          </w:tcPr>
          <w:p w14:paraId="6D5AE006" w14:textId="77777777" w:rsidR="00BC75D4" w:rsidRPr="00BC75D4" w:rsidRDefault="00BC75D4" w:rsidP="00BC75D4">
            <w:pPr>
              <w:spacing w:line="240" w:lineRule="exact"/>
              <w:jc w:val="both"/>
              <w:rPr>
                <w:rFonts w:cs="Arial"/>
                <w:szCs w:val="20"/>
                <w:lang w:val="sl-SI"/>
              </w:rPr>
            </w:pPr>
            <w:r w:rsidRPr="00BC75D4">
              <w:rPr>
                <w:rFonts w:cs="Arial"/>
                <w:szCs w:val="20"/>
                <w:lang w:val="sl-SI"/>
              </w:rPr>
              <w:t>9</w:t>
            </w:r>
          </w:p>
        </w:tc>
        <w:tc>
          <w:tcPr>
            <w:tcW w:w="2840" w:type="dxa"/>
            <w:hideMark/>
          </w:tcPr>
          <w:p w14:paraId="52514269" w14:textId="77777777" w:rsidR="00BC75D4" w:rsidRPr="00BC75D4" w:rsidRDefault="00BC75D4" w:rsidP="00BC75D4">
            <w:pPr>
              <w:spacing w:line="240" w:lineRule="exact"/>
              <w:jc w:val="both"/>
              <w:rPr>
                <w:rFonts w:cs="Arial"/>
                <w:szCs w:val="20"/>
                <w:lang w:val="sl-SI"/>
              </w:rPr>
            </w:pPr>
            <w:r w:rsidRPr="00BC75D4">
              <w:rPr>
                <w:rFonts w:cs="Arial"/>
                <w:szCs w:val="20"/>
                <w:lang w:val="sl-SI"/>
              </w:rPr>
              <w:t>629,82</w:t>
            </w:r>
          </w:p>
        </w:tc>
        <w:tc>
          <w:tcPr>
            <w:tcW w:w="1640" w:type="dxa"/>
            <w:hideMark/>
          </w:tcPr>
          <w:p w14:paraId="126D9648" w14:textId="77777777" w:rsidR="00BC75D4" w:rsidRPr="00BC75D4" w:rsidRDefault="00BC75D4" w:rsidP="00BC75D4">
            <w:pPr>
              <w:spacing w:line="240" w:lineRule="exact"/>
              <w:jc w:val="both"/>
              <w:rPr>
                <w:rFonts w:cs="Arial"/>
                <w:szCs w:val="20"/>
                <w:lang w:val="sl-SI"/>
              </w:rPr>
            </w:pPr>
            <w:r w:rsidRPr="00BC75D4">
              <w:rPr>
                <w:rFonts w:cs="Arial"/>
                <w:szCs w:val="20"/>
                <w:lang w:val="sl-SI"/>
              </w:rPr>
              <w:t>42</w:t>
            </w:r>
          </w:p>
        </w:tc>
        <w:tc>
          <w:tcPr>
            <w:tcW w:w="2000" w:type="dxa"/>
            <w:hideMark/>
          </w:tcPr>
          <w:p w14:paraId="112AFD5C" w14:textId="77777777" w:rsidR="00BC75D4" w:rsidRPr="00BC75D4" w:rsidRDefault="00BC75D4" w:rsidP="00BC75D4">
            <w:pPr>
              <w:spacing w:line="240" w:lineRule="exact"/>
              <w:jc w:val="both"/>
              <w:rPr>
                <w:rFonts w:cs="Arial"/>
                <w:szCs w:val="20"/>
                <w:lang w:val="sl-SI"/>
              </w:rPr>
            </w:pPr>
            <w:r w:rsidRPr="00BC75D4">
              <w:rPr>
                <w:rFonts w:cs="Arial"/>
                <w:szCs w:val="20"/>
                <w:lang w:val="sl-SI"/>
              </w:rPr>
              <w:t>2297,79</w:t>
            </w:r>
          </w:p>
        </w:tc>
      </w:tr>
      <w:tr w:rsidR="00BC75D4" w:rsidRPr="00BC75D4" w14:paraId="27807EB2" w14:textId="77777777" w:rsidTr="0040388C">
        <w:trPr>
          <w:trHeight w:val="236"/>
          <w:jc w:val="center"/>
        </w:trPr>
        <w:tc>
          <w:tcPr>
            <w:tcW w:w="900" w:type="dxa"/>
            <w:hideMark/>
          </w:tcPr>
          <w:p w14:paraId="5C8C3C8E" w14:textId="77777777" w:rsidR="00BC75D4" w:rsidRPr="00BC75D4" w:rsidRDefault="00BC75D4" w:rsidP="00BC75D4">
            <w:pPr>
              <w:spacing w:line="240" w:lineRule="exact"/>
              <w:jc w:val="both"/>
              <w:rPr>
                <w:rFonts w:cs="Arial"/>
                <w:szCs w:val="20"/>
                <w:lang w:val="sl-SI"/>
              </w:rPr>
            </w:pPr>
            <w:r w:rsidRPr="00BC75D4">
              <w:rPr>
                <w:rFonts w:cs="Arial"/>
                <w:szCs w:val="20"/>
                <w:lang w:val="sl-SI"/>
              </w:rPr>
              <w:t>10</w:t>
            </w:r>
          </w:p>
        </w:tc>
        <w:tc>
          <w:tcPr>
            <w:tcW w:w="2840" w:type="dxa"/>
            <w:hideMark/>
          </w:tcPr>
          <w:p w14:paraId="0AFBEA6E" w14:textId="77777777" w:rsidR="00BC75D4" w:rsidRPr="00BC75D4" w:rsidRDefault="00BC75D4" w:rsidP="00BC75D4">
            <w:pPr>
              <w:spacing w:line="240" w:lineRule="exact"/>
              <w:jc w:val="both"/>
              <w:rPr>
                <w:rFonts w:cs="Arial"/>
                <w:szCs w:val="20"/>
                <w:lang w:val="sl-SI"/>
              </w:rPr>
            </w:pPr>
            <w:r w:rsidRPr="00BC75D4">
              <w:rPr>
                <w:rFonts w:cs="Arial"/>
                <w:szCs w:val="20"/>
                <w:lang w:val="sl-SI"/>
              </w:rPr>
              <w:t>655,02</w:t>
            </w:r>
          </w:p>
        </w:tc>
        <w:tc>
          <w:tcPr>
            <w:tcW w:w="1640" w:type="dxa"/>
            <w:hideMark/>
          </w:tcPr>
          <w:p w14:paraId="7D5D4570" w14:textId="77777777" w:rsidR="00BC75D4" w:rsidRPr="00BC75D4" w:rsidRDefault="00BC75D4" w:rsidP="00BC75D4">
            <w:pPr>
              <w:spacing w:line="240" w:lineRule="exact"/>
              <w:jc w:val="both"/>
              <w:rPr>
                <w:rFonts w:cs="Arial"/>
                <w:szCs w:val="20"/>
                <w:lang w:val="sl-SI"/>
              </w:rPr>
            </w:pPr>
            <w:r w:rsidRPr="00BC75D4">
              <w:rPr>
                <w:rFonts w:cs="Arial"/>
                <w:szCs w:val="20"/>
                <w:lang w:val="sl-SI"/>
              </w:rPr>
              <w:t>43</w:t>
            </w:r>
          </w:p>
        </w:tc>
        <w:tc>
          <w:tcPr>
            <w:tcW w:w="2000" w:type="dxa"/>
            <w:hideMark/>
          </w:tcPr>
          <w:p w14:paraId="7E3DE4D3" w14:textId="77777777" w:rsidR="00BC75D4" w:rsidRPr="00BC75D4" w:rsidRDefault="00BC75D4" w:rsidP="00BC75D4">
            <w:pPr>
              <w:spacing w:line="240" w:lineRule="exact"/>
              <w:jc w:val="both"/>
              <w:rPr>
                <w:rFonts w:cs="Arial"/>
                <w:szCs w:val="20"/>
                <w:lang w:val="sl-SI"/>
              </w:rPr>
            </w:pPr>
            <w:r w:rsidRPr="00BC75D4">
              <w:rPr>
                <w:rFonts w:cs="Arial"/>
                <w:szCs w:val="20"/>
                <w:lang w:val="sl-SI"/>
              </w:rPr>
              <w:t>2389,72</w:t>
            </w:r>
          </w:p>
        </w:tc>
      </w:tr>
      <w:tr w:rsidR="00BC75D4" w:rsidRPr="00BC75D4" w14:paraId="25374057" w14:textId="77777777" w:rsidTr="0040388C">
        <w:trPr>
          <w:trHeight w:val="236"/>
          <w:jc w:val="center"/>
        </w:trPr>
        <w:tc>
          <w:tcPr>
            <w:tcW w:w="900" w:type="dxa"/>
            <w:hideMark/>
          </w:tcPr>
          <w:p w14:paraId="078938E0" w14:textId="77777777" w:rsidR="00BC75D4" w:rsidRPr="00BC75D4" w:rsidRDefault="00BC75D4" w:rsidP="00BC75D4">
            <w:pPr>
              <w:spacing w:line="240" w:lineRule="exact"/>
              <w:jc w:val="both"/>
              <w:rPr>
                <w:rFonts w:cs="Arial"/>
                <w:szCs w:val="20"/>
                <w:lang w:val="sl-SI"/>
              </w:rPr>
            </w:pPr>
            <w:r w:rsidRPr="00BC75D4">
              <w:rPr>
                <w:rFonts w:cs="Arial"/>
                <w:szCs w:val="20"/>
                <w:lang w:val="sl-SI"/>
              </w:rPr>
              <w:t>11</w:t>
            </w:r>
          </w:p>
        </w:tc>
        <w:tc>
          <w:tcPr>
            <w:tcW w:w="2840" w:type="dxa"/>
            <w:hideMark/>
          </w:tcPr>
          <w:p w14:paraId="3657A46B" w14:textId="77777777" w:rsidR="00BC75D4" w:rsidRPr="00BC75D4" w:rsidRDefault="00BC75D4" w:rsidP="00BC75D4">
            <w:pPr>
              <w:spacing w:line="240" w:lineRule="exact"/>
              <w:jc w:val="both"/>
              <w:rPr>
                <w:rFonts w:cs="Arial"/>
                <w:szCs w:val="20"/>
                <w:lang w:val="sl-SI"/>
              </w:rPr>
            </w:pPr>
            <w:r w:rsidRPr="00BC75D4">
              <w:rPr>
                <w:rFonts w:cs="Arial"/>
                <w:szCs w:val="20"/>
                <w:lang w:val="sl-SI"/>
              </w:rPr>
              <w:t>681,21</w:t>
            </w:r>
          </w:p>
        </w:tc>
        <w:tc>
          <w:tcPr>
            <w:tcW w:w="1640" w:type="dxa"/>
            <w:hideMark/>
          </w:tcPr>
          <w:p w14:paraId="5B4B7BCE" w14:textId="77777777" w:rsidR="00BC75D4" w:rsidRPr="00BC75D4" w:rsidRDefault="00BC75D4" w:rsidP="00BC75D4">
            <w:pPr>
              <w:spacing w:line="240" w:lineRule="exact"/>
              <w:jc w:val="both"/>
              <w:rPr>
                <w:rFonts w:cs="Arial"/>
                <w:szCs w:val="20"/>
                <w:lang w:val="sl-SI"/>
              </w:rPr>
            </w:pPr>
            <w:r w:rsidRPr="00BC75D4">
              <w:rPr>
                <w:rFonts w:cs="Arial"/>
                <w:szCs w:val="20"/>
                <w:lang w:val="sl-SI"/>
              </w:rPr>
              <w:t>44</w:t>
            </w:r>
          </w:p>
        </w:tc>
        <w:tc>
          <w:tcPr>
            <w:tcW w:w="2000" w:type="dxa"/>
            <w:hideMark/>
          </w:tcPr>
          <w:p w14:paraId="79D96CFE" w14:textId="77777777" w:rsidR="00BC75D4" w:rsidRPr="00BC75D4" w:rsidRDefault="00BC75D4" w:rsidP="00BC75D4">
            <w:pPr>
              <w:spacing w:line="240" w:lineRule="exact"/>
              <w:jc w:val="both"/>
              <w:rPr>
                <w:rFonts w:cs="Arial"/>
                <w:szCs w:val="20"/>
                <w:lang w:val="sl-SI"/>
              </w:rPr>
            </w:pPr>
            <w:r w:rsidRPr="00BC75D4">
              <w:rPr>
                <w:rFonts w:cs="Arial"/>
                <w:szCs w:val="20"/>
                <w:lang w:val="sl-SI"/>
              </w:rPr>
              <w:t>2485,30</w:t>
            </w:r>
          </w:p>
        </w:tc>
      </w:tr>
      <w:tr w:rsidR="00BC75D4" w:rsidRPr="00BC75D4" w14:paraId="188DDA7A" w14:textId="77777777" w:rsidTr="0040388C">
        <w:trPr>
          <w:trHeight w:val="236"/>
          <w:jc w:val="center"/>
        </w:trPr>
        <w:tc>
          <w:tcPr>
            <w:tcW w:w="900" w:type="dxa"/>
            <w:hideMark/>
          </w:tcPr>
          <w:p w14:paraId="53AC0B04" w14:textId="77777777" w:rsidR="00BC75D4" w:rsidRPr="00BC75D4" w:rsidRDefault="00BC75D4" w:rsidP="00BC75D4">
            <w:pPr>
              <w:spacing w:line="240" w:lineRule="exact"/>
              <w:jc w:val="both"/>
              <w:rPr>
                <w:rFonts w:cs="Arial"/>
                <w:szCs w:val="20"/>
                <w:lang w:val="sl-SI"/>
              </w:rPr>
            </w:pPr>
            <w:r w:rsidRPr="00BC75D4">
              <w:rPr>
                <w:rFonts w:cs="Arial"/>
                <w:szCs w:val="20"/>
                <w:lang w:val="sl-SI"/>
              </w:rPr>
              <w:t>12</w:t>
            </w:r>
          </w:p>
        </w:tc>
        <w:tc>
          <w:tcPr>
            <w:tcW w:w="2840" w:type="dxa"/>
            <w:hideMark/>
          </w:tcPr>
          <w:p w14:paraId="0A2F8840" w14:textId="77777777" w:rsidR="00BC75D4" w:rsidRPr="00BC75D4" w:rsidRDefault="00BC75D4" w:rsidP="00BC75D4">
            <w:pPr>
              <w:spacing w:line="240" w:lineRule="exact"/>
              <w:jc w:val="both"/>
              <w:rPr>
                <w:rFonts w:cs="Arial"/>
                <w:szCs w:val="20"/>
                <w:lang w:val="sl-SI"/>
              </w:rPr>
            </w:pPr>
            <w:r w:rsidRPr="00BC75D4">
              <w:rPr>
                <w:rFonts w:cs="Arial"/>
                <w:szCs w:val="20"/>
                <w:lang w:val="sl-SI"/>
              </w:rPr>
              <w:t>708,46</w:t>
            </w:r>
          </w:p>
        </w:tc>
        <w:tc>
          <w:tcPr>
            <w:tcW w:w="1640" w:type="dxa"/>
            <w:hideMark/>
          </w:tcPr>
          <w:p w14:paraId="5C8AB306" w14:textId="77777777" w:rsidR="00BC75D4" w:rsidRPr="00BC75D4" w:rsidRDefault="00BC75D4" w:rsidP="00BC75D4">
            <w:pPr>
              <w:spacing w:line="240" w:lineRule="exact"/>
              <w:jc w:val="both"/>
              <w:rPr>
                <w:rFonts w:cs="Arial"/>
                <w:szCs w:val="20"/>
                <w:lang w:val="sl-SI"/>
              </w:rPr>
            </w:pPr>
            <w:r w:rsidRPr="00BC75D4">
              <w:rPr>
                <w:rFonts w:cs="Arial"/>
                <w:szCs w:val="20"/>
                <w:lang w:val="sl-SI"/>
              </w:rPr>
              <w:t>45</w:t>
            </w:r>
          </w:p>
        </w:tc>
        <w:tc>
          <w:tcPr>
            <w:tcW w:w="2000" w:type="dxa"/>
            <w:hideMark/>
          </w:tcPr>
          <w:p w14:paraId="5002DAB9" w14:textId="77777777" w:rsidR="00BC75D4" w:rsidRPr="00BC75D4" w:rsidRDefault="00BC75D4" w:rsidP="00BC75D4">
            <w:pPr>
              <w:spacing w:line="240" w:lineRule="exact"/>
              <w:jc w:val="both"/>
              <w:rPr>
                <w:rFonts w:cs="Arial"/>
                <w:szCs w:val="20"/>
                <w:lang w:val="sl-SI"/>
              </w:rPr>
            </w:pPr>
            <w:r w:rsidRPr="00BC75D4">
              <w:rPr>
                <w:rFonts w:cs="Arial"/>
                <w:szCs w:val="20"/>
                <w:lang w:val="sl-SI"/>
              </w:rPr>
              <w:t>2584,71</w:t>
            </w:r>
          </w:p>
        </w:tc>
      </w:tr>
      <w:tr w:rsidR="00BC75D4" w:rsidRPr="00BC75D4" w14:paraId="11B6F05C" w14:textId="77777777" w:rsidTr="0040388C">
        <w:trPr>
          <w:trHeight w:val="236"/>
          <w:jc w:val="center"/>
        </w:trPr>
        <w:tc>
          <w:tcPr>
            <w:tcW w:w="900" w:type="dxa"/>
            <w:hideMark/>
          </w:tcPr>
          <w:p w14:paraId="15034A0C" w14:textId="77777777" w:rsidR="00BC75D4" w:rsidRPr="00BC75D4" w:rsidRDefault="00BC75D4" w:rsidP="00BC75D4">
            <w:pPr>
              <w:spacing w:line="240" w:lineRule="exact"/>
              <w:jc w:val="both"/>
              <w:rPr>
                <w:rFonts w:cs="Arial"/>
                <w:szCs w:val="20"/>
                <w:lang w:val="sl-SI"/>
              </w:rPr>
            </w:pPr>
            <w:r w:rsidRPr="00BC75D4">
              <w:rPr>
                <w:rFonts w:cs="Arial"/>
                <w:szCs w:val="20"/>
                <w:lang w:val="sl-SI"/>
              </w:rPr>
              <w:t>13</w:t>
            </w:r>
          </w:p>
        </w:tc>
        <w:tc>
          <w:tcPr>
            <w:tcW w:w="2840" w:type="dxa"/>
            <w:hideMark/>
          </w:tcPr>
          <w:p w14:paraId="3A3C6C07" w14:textId="77777777" w:rsidR="00BC75D4" w:rsidRPr="00BC75D4" w:rsidRDefault="00BC75D4" w:rsidP="00BC75D4">
            <w:pPr>
              <w:spacing w:line="240" w:lineRule="exact"/>
              <w:jc w:val="both"/>
              <w:rPr>
                <w:rFonts w:cs="Arial"/>
                <w:szCs w:val="20"/>
                <w:lang w:val="sl-SI"/>
              </w:rPr>
            </w:pPr>
            <w:r w:rsidRPr="00BC75D4">
              <w:rPr>
                <w:rFonts w:cs="Arial"/>
                <w:szCs w:val="20"/>
                <w:lang w:val="sl-SI"/>
              </w:rPr>
              <w:t>736,79</w:t>
            </w:r>
          </w:p>
        </w:tc>
        <w:tc>
          <w:tcPr>
            <w:tcW w:w="1640" w:type="dxa"/>
            <w:hideMark/>
          </w:tcPr>
          <w:p w14:paraId="3B090ED4" w14:textId="77777777" w:rsidR="00BC75D4" w:rsidRPr="00BC75D4" w:rsidRDefault="00BC75D4" w:rsidP="00BC75D4">
            <w:pPr>
              <w:spacing w:line="240" w:lineRule="exact"/>
              <w:jc w:val="both"/>
              <w:rPr>
                <w:rFonts w:cs="Arial"/>
                <w:szCs w:val="20"/>
                <w:lang w:val="sl-SI"/>
              </w:rPr>
            </w:pPr>
            <w:r w:rsidRPr="00BC75D4">
              <w:rPr>
                <w:rFonts w:cs="Arial"/>
                <w:szCs w:val="20"/>
                <w:lang w:val="sl-SI"/>
              </w:rPr>
              <w:t>46</w:t>
            </w:r>
          </w:p>
        </w:tc>
        <w:tc>
          <w:tcPr>
            <w:tcW w:w="2000" w:type="dxa"/>
            <w:hideMark/>
          </w:tcPr>
          <w:p w14:paraId="658A9D07" w14:textId="77777777" w:rsidR="00BC75D4" w:rsidRPr="00BC75D4" w:rsidRDefault="00BC75D4" w:rsidP="00BC75D4">
            <w:pPr>
              <w:spacing w:line="240" w:lineRule="exact"/>
              <w:jc w:val="both"/>
              <w:rPr>
                <w:rFonts w:cs="Arial"/>
                <w:szCs w:val="20"/>
                <w:lang w:val="sl-SI"/>
              </w:rPr>
            </w:pPr>
            <w:r w:rsidRPr="00BC75D4">
              <w:rPr>
                <w:rFonts w:cs="Arial"/>
                <w:szCs w:val="20"/>
                <w:lang w:val="sl-SI"/>
              </w:rPr>
              <w:t>2688,10</w:t>
            </w:r>
          </w:p>
        </w:tc>
      </w:tr>
      <w:tr w:rsidR="00BC75D4" w:rsidRPr="00BC75D4" w14:paraId="5F53D062" w14:textId="77777777" w:rsidTr="0040388C">
        <w:trPr>
          <w:trHeight w:val="236"/>
          <w:jc w:val="center"/>
        </w:trPr>
        <w:tc>
          <w:tcPr>
            <w:tcW w:w="900" w:type="dxa"/>
            <w:hideMark/>
          </w:tcPr>
          <w:p w14:paraId="322FB298" w14:textId="77777777" w:rsidR="00BC75D4" w:rsidRPr="00BC75D4" w:rsidRDefault="00BC75D4" w:rsidP="00BC75D4">
            <w:pPr>
              <w:spacing w:line="240" w:lineRule="exact"/>
              <w:jc w:val="both"/>
              <w:rPr>
                <w:rFonts w:cs="Arial"/>
                <w:szCs w:val="20"/>
                <w:lang w:val="sl-SI"/>
              </w:rPr>
            </w:pPr>
            <w:r w:rsidRPr="00BC75D4">
              <w:rPr>
                <w:rFonts w:cs="Arial"/>
                <w:szCs w:val="20"/>
                <w:lang w:val="sl-SI"/>
              </w:rPr>
              <w:t>14</w:t>
            </w:r>
          </w:p>
        </w:tc>
        <w:tc>
          <w:tcPr>
            <w:tcW w:w="2840" w:type="dxa"/>
            <w:hideMark/>
          </w:tcPr>
          <w:p w14:paraId="6AE33B65" w14:textId="77777777" w:rsidR="00BC75D4" w:rsidRPr="00BC75D4" w:rsidRDefault="00BC75D4" w:rsidP="00BC75D4">
            <w:pPr>
              <w:spacing w:line="240" w:lineRule="exact"/>
              <w:jc w:val="both"/>
              <w:rPr>
                <w:rFonts w:cs="Arial"/>
                <w:szCs w:val="20"/>
                <w:lang w:val="sl-SI"/>
              </w:rPr>
            </w:pPr>
            <w:r w:rsidRPr="00BC75D4">
              <w:rPr>
                <w:rFonts w:cs="Arial"/>
                <w:szCs w:val="20"/>
                <w:lang w:val="sl-SI"/>
              </w:rPr>
              <w:t>766,27</w:t>
            </w:r>
          </w:p>
        </w:tc>
        <w:tc>
          <w:tcPr>
            <w:tcW w:w="1640" w:type="dxa"/>
            <w:hideMark/>
          </w:tcPr>
          <w:p w14:paraId="2A6A8B27" w14:textId="77777777" w:rsidR="00BC75D4" w:rsidRPr="00BC75D4" w:rsidRDefault="00BC75D4" w:rsidP="00BC75D4">
            <w:pPr>
              <w:spacing w:line="240" w:lineRule="exact"/>
              <w:jc w:val="both"/>
              <w:rPr>
                <w:rFonts w:cs="Arial"/>
                <w:szCs w:val="20"/>
                <w:lang w:val="sl-SI"/>
              </w:rPr>
            </w:pPr>
            <w:r w:rsidRPr="00BC75D4">
              <w:rPr>
                <w:rFonts w:cs="Arial"/>
                <w:szCs w:val="20"/>
                <w:lang w:val="sl-SI"/>
              </w:rPr>
              <w:t>47</w:t>
            </w:r>
          </w:p>
        </w:tc>
        <w:tc>
          <w:tcPr>
            <w:tcW w:w="2000" w:type="dxa"/>
            <w:hideMark/>
          </w:tcPr>
          <w:p w14:paraId="54691B94" w14:textId="77777777" w:rsidR="00BC75D4" w:rsidRPr="00BC75D4" w:rsidRDefault="00BC75D4" w:rsidP="00BC75D4">
            <w:pPr>
              <w:spacing w:line="240" w:lineRule="exact"/>
              <w:jc w:val="both"/>
              <w:rPr>
                <w:rFonts w:cs="Arial"/>
                <w:szCs w:val="20"/>
                <w:lang w:val="sl-SI"/>
              </w:rPr>
            </w:pPr>
            <w:r w:rsidRPr="00BC75D4">
              <w:rPr>
                <w:rFonts w:cs="Arial"/>
                <w:szCs w:val="20"/>
                <w:lang w:val="sl-SI"/>
              </w:rPr>
              <w:t>2795,64</w:t>
            </w:r>
          </w:p>
        </w:tc>
      </w:tr>
      <w:tr w:rsidR="00BC75D4" w:rsidRPr="00BC75D4" w14:paraId="6EC8A522" w14:textId="77777777" w:rsidTr="0040388C">
        <w:trPr>
          <w:trHeight w:val="236"/>
          <w:jc w:val="center"/>
        </w:trPr>
        <w:tc>
          <w:tcPr>
            <w:tcW w:w="900" w:type="dxa"/>
            <w:hideMark/>
          </w:tcPr>
          <w:p w14:paraId="2D6E34B7" w14:textId="77777777" w:rsidR="00BC75D4" w:rsidRPr="00BC75D4" w:rsidRDefault="00BC75D4" w:rsidP="00BC75D4">
            <w:pPr>
              <w:spacing w:line="240" w:lineRule="exact"/>
              <w:jc w:val="both"/>
              <w:rPr>
                <w:rFonts w:cs="Arial"/>
                <w:szCs w:val="20"/>
                <w:lang w:val="sl-SI"/>
              </w:rPr>
            </w:pPr>
            <w:r w:rsidRPr="00BC75D4">
              <w:rPr>
                <w:rFonts w:cs="Arial"/>
                <w:szCs w:val="20"/>
                <w:lang w:val="sl-SI"/>
              </w:rPr>
              <w:t>15</w:t>
            </w:r>
          </w:p>
        </w:tc>
        <w:tc>
          <w:tcPr>
            <w:tcW w:w="2840" w:type="dxa"/>
            <w:hideMark/>
          </w:tcPr>
          <w:p w14:paraId="77E926A5" w14:textId="77777777" w:rsidR="00BC75D4" w:rsidRPr="00BC75D4" w:rsidRDefault="00BC75D4" w:rsidP="00BC75D4">
            <w:pPr>
              <w:spacing w:line="240" w:lineRule="exact"/>
              <w:jc w:val="both"/>
              <w:rPr>
                <w:rFonts w:cs="Arial"/>
                <w:szCs w:val="20"/>
                <w:lang w:val="sl-SI"/>
              </w:rPr>
            </w:pPr>
            <w:r w:rsidRPr="00BC75D4">
              <w:rPr>
                <w:rFonts w:cs="Arial"/>
                <w:szCs w:val="20"/>
                <w:lang w:val="sl-SI"/>
              </w:rPr>
              <w:t>796,92</w:t>
            </w:r>
          </w:p>
        </w:tc>
        <w:tc>
          <w:tcPr>
            <w:tcW w:w="1640" w:type="dxa"/>
            <w:hideMark/>
          </w:tcPr>
          <w:p w14:paraId="467C83CC" w14:textId="77777777" w:rsidR="00BC75D4" w:rsidRPr="00BC75D4" w:rsidRDefault="00BC75D4" w:rsidP="00BC75D4">
            <w:pPr>
              <w:spacing w:line="240" w:lineRule="exact"/>
              <w:jc w:val="both"/>
              <w:rPr>
                <w:rFonts w:cs="Arial"/>
                <w:szCs w:val="20"/>
                <w:lang w:val="sl-SI"/>
              </w:rPr>
            </w:pPr>
            <w:r w:rsidRPr="00BC75D4">
              <w:rPr>
                <w:rFonts w:cs="Arial"/>
                <w:szCs w:val="20"/>
                <w:lang w:val="sl-SI"/>
              </w:rPr>
              <w:t>48</w:t>
            </w:r>
          </w:p>
        </w:tc>
        <w:tc>
          <w:tcPr>
            <w:tcW w:w="2000" w:type="dxa"/>
            <w:hideMark/>
          </w:tcPr>
          <w:p w14:paraId="31D90CB1" w14:textId="77777777" w:rsidR="00BC75D4" w:rsidRPr="00BC75D4" w:rsidRDefault="00BC75D4" w:rsidP="00BC75D4">
            <w:pPr>
              <w:spacing w:line="240" w:lineRule="exact"/>
              <w:jc w:val="both"/>
              <w:rPr>
                <w:rFonts w:cs="Arial"/>
                <w:szCs w:val="20"/>
                <w:lang w:val="sl-SI"/>
              </w:rPr>
            </w:pPr>
            <w:r w:rsidRPr="00BC75D4">
              <w:rPr>
                <w:rFonts w:cs="Arial"/>
                <w:szCs w:val="20"/>
                <w:lang w:val="sl-SI"/>
              </w:rPr>
              <w:t>2907,45</w:t>
            </w:r>
          </w:p>
        </w:tc>
      </w:tr>
      <w:tr w:rsidR="00BC75D4" w:rsidRPr="00BC75D4" w14:paraId="0C7EA643" w14:textId="77777777" w:rsidTr="0040388C">
        <w:trPr>
          <w:trHeight w:val="236"/>
          <w:jc w:val="center"/>
        </w:trPr>
        <w:tc>
          <w:tcPr>
            <w:tcW w:w="900" w:type="dxa"/>
            <w:hideMark/>
          </w:tcPr>
          <w:p w14:paraId="22740A75" w14:textId="77777777" w:rsidR="00BC75D4" w:rsidRPr="00BC75D4" w:rsidRDefault="00BC75D4" w:rsidP="00BC75D4">
            <w:pPr>
              <w:spacing w:line="240" w:lineRule="exact"/>
              <w:jc w:val="both"/>
              <w:rPr>
                <w:rFonts w:cs="Arial"/>
                <w:szCs w:val="20"/>
                <w:lang w:val="sl-SI"/>
              </w:rPr>
            </w:pPr>
            <w:r w:rsidRPr="00BC75D4">
              <w:rPr>
                <w:rFonts w:cs="Arial"/>
                <w:szCs w:val="20"/>
                <w:lang w:val="sl-SI"/>
              </w:rPr>
              <w:t>16</w:t>
            </w:r>
          </w:p>
        </w:tc>
        <w:tc>
          <w:tcPr>
            <w:tcW w:w="2840" w:type="dxa"/>
            <w:hideMark/>
          </w:tcPr>
          <w:p w14:paraId="58C1DCC8" w14:textId="77777777" w:rsidR="00BC75D4" w:rsidRPr="00BC75D4" w:rsidRDefault="00BC75D4" w:rsidP="00BC75D4">
            <w:pPr>
              <w:spacing w:line="240" w:lineRule="exact"/>
              <w:jc w:val="both"/>
              <w:rPr>
                <w:rFonts w:cs="Arial"/>
                <w:szCs w:val="20"/>
                <w:lang w:val="sl-SI"/>
              </w:rPr>
            </w:pPr>
            <w:r w:rsidRPr="00BC75D4">
              <w:rPr>
                <w:rFonts w:cs="Arial"/>
                <w:szCs w:val="20"/>
                <w:lang w:val="sl-SI"/>
              </w:rPr>
              <w:t>828,79</w:t>
            </w:r>
          </w:p>
        </w:tc>
        <w:tc>
          <w:tcPr>
            <w:tcW w:w="1640" w:type="dxa"/>
            <w:hideMark/>
          </w:tcPr>
          <w:p w14:paraId="203FB9ED" w14:textId="77777777" w:rsidR="00BC75D4" w:rsidRPr="00BC75D4" w:rsidRDefault="00BC75D4" w:rsidP="00BC75D4">
            <w:pPr>
              <w:spacing w:line="240" w:lineRule="exact"/>
              <w:jc w:val="both"/>
              <w:rPr>
                <w:rFonts w:cs="Arial"/>
                <w:szCs w:val="20"/>
                <w:lang w:val="sl-SI"/>
              </w:rPr>
            </w:pPr>
            <w:r w:rsidRPr="00BC75D4">
              <w:rPr>
                <w:rFonts w:cs="Arial"/>
                <w:szCs w:val="20"/>
                <w:lang w:val="sl-SI"/>
              </w:rPr>
              <w:t>49</w:t>
            </w:r>
          </w:p>
        </w:tc>
        <w:tc>
          <w:tcPr>
            <w:tcW w:w="2000" w:type="dxa"/>
            <w:hideMark/>
          </w:tcPr>
          <w:p w14:paraId="47CC87B3" w14:textId="77777777" w:rsidR="00BC75D4" w:rsidRPr="00BC75D4" w:rsidRDefault="00BC75D4" w:rsidP="00BC75D4">
            <w:pPr>
              <w:spacing w:line="240" w:lineRule="exact"/>
              <w:jc w:val="both"/>
              <w:rPr>
                <w:rFonts w:cs="Arial"/>
                <w:szCs w:val="20"/>
                <w:lang w:val="sl-SI"/>
              </w:rPr>
            </w:pPr>
            <w:r w:rsidRPr="00BC75D4">
              <w:rPr>
                <w:rFonts w:cs="Arial"/>
                <w:szCs w:val="20"/>
                <w:lang w:val="sl-SI"/>
              </w:rPr>
              <w:t>3023,75</w:t>
            </w:r>
          </w:p>
        </w:tc>
      </w:tr>
      <w:tr w:rsidR="00BC75D4" w:rsidRPr="00BC75D4" w14:paraId="3B477E2B" w14:textId="77777777" w:rsidTr="0040388C">
        <w:trPr>
          <w:trHeight w:val="236"/>
          <w:jc w:val="center"/>
        </w:trPr>
        <w:tc>
          <w:tcPr>
            <w:tcW w:w="900" w:type="dxa"/>
            <w:hideMark/>
          </w:tcPr>
          <w:p w14:paraId="71BD0FB6" w14:textId="77777777" w:rsidR="00BC75D4" w:rsidRPr="00BC75D4" w:rsidRDefault="00BC75D4" w:rsidP="00BC75D4">
            <w:pPr>
              <w:spacing w:line="240" w:lineRule="exact"/>
              <w:jc w:val="both"/>
              <w:rPr>
                <w:rFonts w:cs="Arial"/>
                <w:szCs w:val="20"/>
                <w:lang w:val="sl-SI"/>
              </w:rPr>
            </w:pPr>
            <w:r w:rsidRPr="00BC75D4">
              <w:rPr>
                <w:rFonts w:cs="Arial"/>
                <w:szCs w:val="20"/>
                <w:lang w:val="sl-SI"/>
              </w:rPr>
              <w:t>17</w:t>
            </w:r>
          </w:p>
        </w:tc>
        <w:tc>
          <w:tcPr>
            <w:tcW w:w="2840" w:type="dxa"/>
            <w:hideMark/>
          </w:tcPr>
          <w:p w14:paraId="7D109BDF" w14:textId="77777777" w:rsidR="00BC75D4" w:rsidRPr="00BC75D4" w:rsidRDefault="00BC75D4" w:rsidP="00BC75D4">
            <w:pPr>
              <w:spacing w:line="240" w:lineRule="exact"/>
              <w:jc w:val="both"/>
              <w:rPr>
                <w:rFonts w:cs="Arial"/>
                <w:szCs w:val="20"/>
                <w:lang w:val="sl-SI"/>
              </w:rPr>
            </w:pPr>
            <w:r w:rsidRPr="00BC75D4">
              <w:rPr>
                <w:rFonts w:cs="Arial"/>
                <w:szCs w:val="20"/>
                <w:lang w:val="sl-SI"/>
              </w:rPr>
              <w:t>861,96</w:t>
            </w:r>
          </w:p>
        </w:tc>
        <w:tc>
          <w:tcPr>
            <w:tcW w:w="1640" w:type="dxa"/>
            <w:hideMark/>
          </w:tcPr>
          <w:p w14:paraId="0138A371" w14:textId="77777777" w:rsidR="00BC75D4" w:rsidRPr="00BC75D4" w:rsidRDefault="00BC75D4" w:rsidP="00BC75D4">
            <w:pPr>
              <w:spacing w:line="240" w:lineRule="exact"/>
              <w:jc w:val="both"/>
              <w:rPr>
                <w:rFonts w:cs="Arial"/>
                <w:szCs w:val="20"/>
                <w:lang w:val="sl-SI"/>
              </w:rPr>
            </w:pPr>
            <w:r w:rsidRPr="00BC75D4">
              <w:rPr>
                <w:rFonts w:cs="Arial"/>
                <w:szCs w:val="20"/>
                <w:lang w:val="sl-SI"/>
              </w:rPr>
              <w:t>50</w:t>
            </w:r>
          </w:p>
        </w:tc>
        <w:tc>
          <w:tcPr>
            <w:tcW w:w="2000" w:type="dxa"/>
            <w:hideMark/>
          </w:tcPr>
          <w:p w14:paraId="74E2C90A" w14:textId="77777777" w:rsidR="00BC75D4" w:rsidRPr="00BC75D4" w:rsidRDefault="00BC75D4" w:rsidP="00BC75D4">
            <w:pPr>
              <w:spacing w:line="240" w:lineRule="exact"/>
              <w:jc w:val="both"/>
              <w:rPr>
                <w:rFonts w:cs="Arial"/>
                <w:szCs w:val="20"/>
                <w:lang w:val="sl-SI"/>
              </w:rPr>
            </w:pPr>
            <w:r w:rsidRPr="00BC75D4">
              <w:rPr>
                <w:rFonts w:cs="Arial"/>
                <w:szCs w:val="20"/>
                <w:lang w:val="sl-SI"/>
              </w:rPr>
              <w:t>3144,70</w:t>
            </w:r>
          </w:p>
        </w:tc>
      </w:tr>
      <w:tr w:rsidR="00BC75D4" w:rsidRPr="00BC75D4" w14:paraId="34C76346" w14:textId="77777777" w:rsidTr="0040388C">
        <w:trPr>
          <w:trHeight w:val="236"/>
          <w:jc w:val="center"/>
        </w:trPr>
        <w:tc>
          <w:tcPr>
            <w:tcW w:w="900" w:type="dxa"/>
            <w:hideMark/>
          </w:tcPr>
          <w:p w14:paraId="40C00E77" w14:textId="77777777" w:rsidR="00BC75D4" w:rsidRPr="00BC75D4" w:rsidRDefault="00BC75D4" w:rsidP="00BC75D4">
            <w:pPr>
              <w:spacing w:line="240" w:lineRule="exact"/>
              <w:jc w:val="both"/>
              <w:rPr>
                <w:rFonts w:cs="Arial"/>
                <w:szCs w:val="20"/>
                <w:lang w:val="sl-SI"/>
              </w:rPr>
            </w:pPr>
            <w:r w:rsidRPr="00BC75D4">
              <w:rPr>
                <w:rFonts w:cs="Arial"/>
                <w:szCs w:val="20"/>
                <w:lang w:val="sl-SI"/>
              </w:rPr>
              <w:t>18</w:t>
            </w:r>
          </w:p>
        </w:tc>
        <w:tc>
          <w:tcPr>
            <w:tcW w:w="2840" w:type="dxa"/>
            <w:hideMark/>
          </w:tcPr>
          <w:p w14:paraId="22F7B2B7" w14:textId="77777777" w:rsidR="00BC75D4" w:rsidRPr="00BC75D4" w:rsidRDefault="00BC75D4" w:rsidP="00BC75D4">
            <w:pPr>
              <w:spacing w:line="240" w:lineRule="exact"/>
              <w:jc w:val="both"/>
              <w:rPr>
                <w:rFonts w:cs="Arial"/>
                <w:szCs w:val="20"/>
                <w:lang w:val="sl-SI"/>
              </w:rPr>
            </w:pPr>
            <w:r w:rsidRPr="00BC75D4">
              <w:rPr>
                <w:rFonts w:cs="Arial"/>
                <w:szCs w:val="20"/>
                <w:lang w:val="sl-SI"/>
              </w:rPr>
              <w:t>896,43</w:t>
            </w:r>
          </w:p>
        </w:tc>
        <w:tc>
          <w:tcPr>
            <w:tcW w:w="1640" w:type="dxa"/>
            <w:hideMark/>
          </w:tcPr>
          <w:p w14:paraId="138FD4E6" w14:textId="77777777" w:rsidR="00BC75D4" w:rsidRPr="00BC75D4" w:rsidRDefault="00BC75D4" w:rsidP="00BC75D4">
            <w:pPr>
              <w:spacing w:line="240" w:lineRule="exact"/>
              <w:jc w:val="both"/>
              <w:rPr>
                <w:rFonts w:cs="Arial"/>
                <w:szCs w:val="20"/>
                <w:lang w:val="sl-SI"/>
              </w:rPr>
            </w:pPr>
            <w:r w:rsidRPr="00BC75D4">
              <w:rPr>
                <w:rFonts w:cs="Arial"/>
                <w:szCs w:val="20"/>
                <w:lang w:val="sl-SI"/>
              </w:rPr>
              <w:t>51</w:t>
            </w:r>
          </w:p>
        </w:tc>
        <w:tc>
          <w:tcPr>
            <w:tcW w:w="2000" w:type="dxa"/>
            <w:hideMark/>
          </w:tcPr>
          <w:p w14:paraId="0FE73ACC" w14:textId="77777777" w:rsidR="00BC75D4" w:rsidRPr="00BC75D4" w:rsidRDefault="00BC75D4" w:rsidP="00BC75D4">
            <w:pPr>
              <w:spacing w:line="240" w:lineRule="exact"/>
              <w:jc w:val="both"/>
              <w:rPr>
                <w:rFonts w:cs="Arial"/>
                <w:szCs w:val="20"/>
                <w:lang w:val="sl-SI"/>
              </w:rPr>
            </w:pPr>
            <w:r w:rsidRPr="00BC75D4">
              <w:rPr>
                <w:rFonts w:cs="Arial"/>
                <w:szCs w:val="20"/>
                <w:lang w:val="sl-SI"/>
              </w:rPr>
              <w:t>3270,49</w:t>
            </w:r>
          </w:p>
        </w:tc>
      </w:tr>
      <w:tr w:rsidR="00BC75D4" w:rsidRPr="00BC75D4" w14:paraId="5A7EF846" w14:textId="77777777" w:rsidTr="0040388C">
        <w:trPr>
          <w:trHeight w:val="236"/>
          <w:jc w:val="center"/>
        </w:trPr>
        <w:tc>
          <w:tcPr>
            <w:tcW w:w="900" w:type="dxa"/>
            <w:hideMark/>
          </w:tcPr>
          <w:p w14:paraId="603852FD" w14:textId="77777777" w:rsidR="00BC75D4" w:rsidRPr="00BC75D4" w:rsidRDefault="00BC75D4" w:rsidP="00BC75D4">
            <w:pPr>
              <w:spacing w:line="240" w:lineRule="exact"/>
              <w:jc w:val="both"/>
              <w:rPr>
                <w:rFonts w:cs="Arial"/>
                <w:szCs w:val="20"/>
                <w:lang w:val="sl-SI"/>
              </w:rPr>
            </w:pPr>
            <w:r w:rsidRPr="00BC75D4">
              <w:rPr>
                <w:rFonts w:cs="Arial"/>
                <w:szCs w:val="20"/>
                <w:lang w:val="sl-SI"/>
              </w:rPr>
              <w:t>19</w:t>
            </w:r>
          </w:p>
        </w:tc>
        <w:tc>
          <w:tcPr>
            <w:tcW w:w="2840" w:type="dxa"/>
            <w:hideMark/>
          </w:tcPr>
          <w:p w14:paraId="6BD49697" w14:textId="77777777" w:rsidR="00BC75D4" w:rsidRPr="00BC75D4" w:rsidRDefault="00BC75D4" w:rsidP="00BC75D4">
            <w:pPr>
              <w:spacing w:line="240" w:lineRule="exact"/>
              <w:jc w:val="both"/>
              <w:rPr>
                <w:rFonts w:cs="Arial"/>
                <w:szCs w:val="20"/>
                <w:lang w:val="sl-SI"/>
              </w:rPr>
            </w:pPr>
            <w:r w:rsidRPr="00BC75D4">
              <w:rPr>
                <w:rFonts w:cs="Arial"/>
                <w:szCs w:val="20"/>
                <w:lang w:val="sl-SI"/>
              </w:rPr>
              <w:t>932,28</w:t>
            </w:r>
          </w:p>
        </w:tc>
        <w:tc>
          <w:tcPr>
            <w:tcW w:w="1640" w:type="dxa"/>
            <w:hideMark/>
          </w:tcPr>
          <w:p w14:paraId="55A20129" w14:textId="77777777" w:rsidR="00BC75D4" w:rsidRPr="00BC75D4" w:rsidRDefault="00BC75D4" w:rsidP="00BC75D4">
            <w:pPr>
              <w:spacing w:line="240" w:lineRule="exact"/>
              <w:jc w:val="both"/>
              <w:rPr>
                <w:rFonts w:cs="Arial"/>
                <w:szCs w:val="20"/>
                <w:lang w:val="sl-SI"/>
              </w:rPr>
            </w:pPr>
            <w:r w:rsidRPr="00BC75D4">
              <w:rPr>
                <w:rFonts w:cs="Arial"/>
                <w:szCs w:val="20"/>
                <w:lang w:val="sl-SI"/>
              </w:rPr>
              <w:t>52</w:t>
            </w:r>
          </w:p>
        </w:tc>
        <w:tc>
          <w:tcPr>
            <w:tcW w:w="2000" w:type="dxa"/>
            <w:hideMark/>
          </w:tcPr>
          <w:p w14:paraId="431367B9" w14:textId="77777777" w:rsidR="00BC75D4" w:rsidRPr="00BC75D4" w:rsidRDefault="00BC75D4" w:rsidP="00BC75D4">
            <w:pPr>
              <w:spacing w:line="240" w:lineRule="exact"/>
              <w:jc w:val="both"/>
              <w:rPr>
                <w:rFonts w:cs="Arial"/>
                <w:szCs w:val="20"/>
                <w:lang w:val="sl-SI"/>
              </w:rPr>
            </w:pPr>
            <w:r w:rsidRPr="00BC75D4">
              <w:rPr>
                <w:rFonts w:cs="Arial"/>
                <w:szCs w:val="20"/>
                <w:lang w:val="sl-SI"/>
              </w:rPr>
              <w:t>3401,31</w:t>
            </w:r>
          </w:p>
        </w:tc>
      </w:tr>
      <w:tr w:rsidR="00BC75D4" w:rsidRPr="00BC75D4" w14:paraId="58E3D651" w14:textId="77777777" w:rsidTr="0040388C">
        <w:trPr>
          <w:trHeight w:val="236"/>
          <w:jc w:val="center"/>
        </w:trPr>
        <w:tc>
          <w:tcPr>
            <w:tcW w:w="900" w:type="dxa"/>
            <w:hideMark/>
          </w:tcPr>
          <w:p w14:paraId="54078DFD" w14:textId="77777777" w:rsidR="00BC75D4" w:rsidRPr="00BC75D4" w:rsidRDefault="00BC75D4" w:rsidP="00BC75D4">
            <w:pPr>
              <w:spacing w:line="240" w:lineRule="exact"/>
              <w:jc w:val="both"/>
              <w:rPr>
                <w:rFonts w:cs="Arial"/>
                <w:szCs w:val="20"/>
                <w:lang w:val="sl-SI"/>
              </w:rPr>
            </w:pPr>
            <w:r w:rsidRPr="00BC75D4">
              <w:rPr>
                <w:rFonts w:cs="Arial"/>
                <w:szCs w:val="20"/>
                <w:lang w:val="sl-SI"/>
              </w:rPr>
              <w:t>20</w:t>
            </w:r>
          </w:p>
        </w:tc>
        <w:tc>
          <w:tcPr>
            <w:tcW w:w="2840" w:type="dxa"/>
            <w:hideMark/>
          </w:tcPr>
          <w:p w14:paraId="40DF06B7" w14:textId="77777777" w:rsidR="00BC75D4" w:rsidRPr="00BC75D4" w:rsidRDefault="00BC75D4" w:rsidP="00BC75D4">
            <w:pPr>
              <w:spacing w:line="240" w:lineRule="exact"/>
              <w:jc w:val="both"/>
              <w:rPr>
                <w:rFonts w:cs="Arial"/>
                <w:szCs w:val="20"/>
                <w:lang w:val="sl-SI"/>
              </w:rPr>
            </w:pPr>
            <w:r w:rsidRPr="00BC75D4">
              <w:rPr>
                <w:rFonts w:cs="Arial"/>
                <w:szCs w:val="20"/>
                <w:lang w:val="sl-SI"/>
              </w:rPr>
              <w:t>969,57</w:t>
            </w:r>
          </w:p>
        </w:tc>
        <w:tc>
          <w:tcPr>
            <w:tcW w:w="1640" w:type="dxa"/>
            <w:hideMark/>
          </w:tcPr>
          <w:p w14:paraId="47117239" w14:textId="77777777" w:rsidR="00BC75D4" w:rsidRPr="00BC75D4" w:rsidRDefault="00BC75D4" w:rsidP="00BC75D4">
            <w:pPr>
              <w:spacing w:line="240" w:lineRule="exact"/>
              <w:jc w:val="both"/>
              <w:rPr>
                <w:rFonts w:cs="Arial"/>
                <w:szCs w:val="20"/>
                <w:lang w:val="sl-SI"/>
              </w:rPr>
            </w:pPr>
            <w:r w:rsidRPr="00BC75D4">
              <w:rPr>
                <w:rFonts w:cs="Arial"/>
                <w:szCs w:val="20"/>
                <w:lang w:val="sl-SI"/>
              </w:rPr>
              <w:t>53</w:t>
            </w:r>
          </w:p>
        </w:tc>
        <w:tc>
          <w:tcPr>
            <w:tcW w:w="2000" w:type="dxa"/>
            <w:hideMark/>
          </w:tcPr>
          <w:p w14:paraId="0357C316" w14:textId="77777777" w:rsidR="00BC75D4" w:rsidRPr="00BC75D4" w:rsidRDefault="00BC75D4" w:rsidP="00BC75D4">
            <w:pPr>
              <w:spacing w:line="240" w:lineRule="exact"/>
              <w:jc w:val="both"/>
              <w:rPr>
                <w:rFonts w:cs="Arial"/>
                <w:szCs w:val="20"/>
                <w:lang w:val="sl-SI"/>
              </w:rPr>
            </w:pPr>
            <w:r w:rsidRPr="00BC75D4">
              <w:rPr>
                <w:rFonts w:cs="Arial"/>
                <w:szCs w:val="20"/>
                <w:lang w:val="sl-SI"/>
              </w:rPr>
              <w:t>3537,36</w:t>
            </w:r>
          </w:p>
        </w:tc>
      </w:tr>
      <w:tr w:rsidR="00BC75D4" w:rsidRPr="00BC75D4" w14:paraId="268D1C5D" w14:textId="77777777" w:rsidTr="0040388C">
        <w:trPr>
          <w:trHeight w:val="236"/>
          <w:jc w:val="center"/>
        </w:trPr>
        <w:tc>
          <w:tcPr>
            <w:tcW w:w="900" w:type="dxa"/>
            <w:hideMark/>
          </w:tcPr>
          <w:p w14:paraId="37A1CB86" w14:textId="77777777" w:rsidR="00BC75D4" w:rsidRPr="00BC75D4" w:rsidRDefault="00BC75D4" w:rsidP="00BC75D4">
            <w:pPr>
              <w:spacing w:line="240" w:lineRule="exact"/>
              <w:jc w:val="both"/>
              <w:rPr>
                <w:rFonts w:cs="Arial"/>
                <w:szCs w:val="20"/>
                <w:lang w:val="sl-SI"/>
              </w:rPr>
            </w:pPr>
            <w:r w:rsidRPr="00BC75D4">
              <w:rPr>
                <w:rFonts w:cs="Arial"/>
                <w:szCs w:val="20"/>
                <w:lang w:val="sl-SI"/>
              </w:rPr>
              <w:t>21</w:t>
            </w:r>
          </w:p>
        </w:tc>
        <w:tc>
          <w:tcPr>
            <w:tcW w:w="2840" w:type="dxa"/>
            <w:hideMark/>
          </w:tcPr>
          <w:p w14:paraId="5509B54F" w14:textId="77777777" w:rsidR="00BC75D4" w:rsidRPr="00BC75D4" w:rsidRDefault="00BC75D4" w:rsidP="00BC75D4">
            <w:pPr>
              <w:spacing w:line="240" w:lineRule="exact"/>
              <w:jc w:val="both"/>
              <w:rPr>
                <w:rFonts w:cs="Arial"/>
                <w:szCs w:val="20"/>
                <w:lang w:val="sl-SI"/>
              </w:rPr>
            </w:pPr>
            <w:r w:rsidRPr="00BC75D4">
              <w:rPr>
                <w:rFonts w:cs="Arial"/>
                <w:szCs w:val="20"/>
                <w:lang w:val="sl-SI"/>
              </w:rPr>
              <w:t>1008,36</w:t>
            </w:r>
          </w:p>
        </w:tc>
        <w:tc>
          <w:tcPr>
            <w:tcW w:w="1640" w:type="dxa"/>
            <w:hideMark/>
          </w:tcPr>
          <w:p w14:paraId="707D8B89" w14:textId="77777777" w:rsidR="00BC75D4" w:rsidRPr="00BC75D4" w:rsidRDefault="00BC75D4" w:rsidP="00BC75D4">
            <w:pPr>
              <w:spacing w:line="240" w:lineRule="exact"/>
              <w:jc w:val="both"/>
              <w:rPr>
                <w:rFonts w:cs="Arial"/>
                <w:szCs w:val="20"/>
                <w:lang w:val="sl-SI"/>
              </w:rPr>
            </w:pPr>
            <w:r w:rsidRPr="00BC75D4">
              <w:rPr>
                <w:rFonts w:cs="Arial"/>
                <w:szCs w:val="20"/>
                <w:lang w:val="sl-SI"/>
              </w:rPr>
              <w:t>54</w:t>
            </w:r>
          </w:p>
        </w:tc>
        <w:tc>
          <w:tcPr>
            <w:tcW w:w="2000" w:type="dxa"/>
            <w:hideMark/>
          </w:tcPr>
          <w:p w14:paraId="1B5EFFEE" w14:textId="77777777" w:rsidR="00BC75D4" w:rsidRPr="00BC75D4" w:rsidRDefault="00BC75D4" w:rsidP="00BC75D4">
            <w:pPr>
              <w:spacing w:line="240" w:lineRule="exact"/>
              <w:jc w:val="both"/>
              <w:rPr>
                <w:rFonts w:cs="Arial"/>
                <w:szCs w:val="20"/>
                <w:lang w:val="sl-SI"/>
              </w:rPr>
            </w:pPr>
            <w:r w:rsidRPr="00BC75D4">
              <w:rPr>
                <w:rFonts w:cs="Arial"/>
                <w:szCs w:val="20"/>
                <w:lang w:val="sl-SI"/>
              </w:rPr>
              <w:t>3678,86</w:t>
            </w:r>
          </w:p>
        </w:tc>
      </w:tr>
      <w:tr w:rsidR="00BC75D4" w:rsidRPr="00BC75D4" w14:paraId="2FE9BB07" w14:textId="77777777" w:rsidTr="0040388C">
        <w:trPr>
          <w:trHeight w:val="236"/>
          <w:jc w:val="center"/>
        </w:trPr>
        <w:tc>
          <w:tcPr>
            <w:tcW w:w="900" w:type="dxa"/>
            <w:hideMark/>
          </w:tcPr>
          <w:p w14:paraId="0E85D988" w14:textId="77777777" w:rsidR="00BC75D4" w:rsidRPr="00BC75D4" w:rsidRDefault="00BC75D4" w:rsidP="00BC75D4">
            <w:pPr>
              <w:spacing w:line="240" w:lineRule="exact"/>
              <w:jc w:val="both"/>
              <w:rPr>
                <w:rFonts w:cs="Arial"/>
                <w:szCs w:val="20"/>
                <w:lang w:val="sl-SI"/>
              </w:rPr>
            </w:pPr>
            <w:r w:rsidRPr="00BC75D4">
              <w:rPr>
                <w:rFonts w:cs="Arial"/>
                <w:szCs w:val="20"/>
                <w:lang w:val="sl-SI"/>
              </w:rPr>
              <w:t>22</w:t>
            </w:r>
          </w:p>
        </w:tc>
        <w:tc>
          <w:tcPr>
            <w:tcW w:w="2840" w:type="dxa"/>
            <w:hideMark/>
          </w:tcPr>
          <w:p w14:paraId="3FF6DD4B" w14:textId="77777777" w:rsidR="00BC75D4" w:rsidRPr="00BC75D4" w:rsidRDefault="00BC75D4" w:rsidP="00BC75D4">
            <w:pPr>
              <w:spacing w:line="240" w:lineRule="exact"/>
              <w:jc w:val="both"/>
              <w:rPr>
                <w:rFonts w:cs="Arial"/>
                <w:szCs w:val="20"/>
                <w:lang w:val="sl-SI"/>
              </w:rPr>
            </w:pPr>
            <w:r w:rsidRPr="00BC75D4">
              <w:rPr>
                <w:rFonts w:cs="Arial"/>
                <w:szCs w:val="20"/>
                <w:lang w:val="sl-SI"/>
              </w:rPr>
              <w:t>1048,70</w:t>
            </w:r>
          </w:p>
        </w:tc>
        <w:tc>
          <w:tcPr>
            <w:tcW w:w="1640" w:type="dxa"/>
            <w:hideMark/>
          </w:tcPr>
          <w:p w14:paraId="7C946A7F" w14:textId="77777777" w:rsidR="00BC75D4" w:rsidRPr="00BC75D4" w:rsidRDefault="00BC75D4" w:rsidP="00BC75D4">
            <w:pPr>
              <w:spacing w:line="240" w:lineRule="exact"/>
              <w:jc w:val="both"/>
              <w:rPr>
                <w:rFonts w:cs="Arial"/>
                <w:szCs w:val="20"/>
                <w:lang w:val="sl-SI"/>
              </w:rPr>
            </w:pPr>
            <w:r w:rsidRPr="00BC75D4">
              <w:rPr>
                <w:rFonts w:cs="Arial"/>
                <w:szCs w:val="20"/>
                <w:lang w:val="sl-SI"/>
              </w:rPr>
              <w:t>55</w:t>
            </w:r>
          </w:p>
        </w:tc>
        <w:tc>
          <w:tcPr>
            <w:tcW w:w="2000" w:type="dxa"/>
            <w:hideMark/>
          </w:tcPr>
          <w:p w14:paraId="64C68BB0" w14:textId="77777777" w:rsidR="00BC75D4" w:rsidRPr="00BC75D4" w:rsidRDefault="00BC75D4" w:rsidP="00BC75D4">
            <w:pPr>
              <w:spacing w:line="240" w:lineRule="exact"/>
              <w:jc w:val="both"/>
              <w:rPr>
                <w:rFonts w:cs="Arial"/>
                <w:szCs w:val="20"/>
                <w:lang w:val="sl-SI"/>
              </w:rPr>
            </w:pPr>
            <w:r w:rsidRPr="00BC75D4">
              <w:rPr>
                <w:rFonts w:cs="Arial"/>
                <w:szCs w:val="20"/>
                <w:lang w:val="sl-SI"/>
              </w:rPr>
              <w:t>3826,01</w:t>
            </w:r>
          </w:p>
        </w:tc>
      </w:tr>
      <w:tr w:rsidR="00BC75D4" w:rsidRPr="00BC75D4" w14:paraId="76AC006D" w14:textId="77777777" w:rsidTr="0040388C">
        <w:trPr>
          <w:trHeight w:val="236"/>
          <w:jc w:val="center"/>
        </w:trPr>
        <w:tc>
          <w:tcPr>
            <w:tcW w:w="900" w:type="dxa"/>
            <w:hideMark/>
          </w:tcPr>
          <w:p w14:paraId="34B8B816" w14:textId="77777777" w:rsidR="00BC75D4" w:rsidRPr="00BC75D4" w:rsidRDefault="00BC75D4" w:rsidP="00BC75D4">
            <w:pPr>
              <w:spacing w:line="240" w:lineRule="exact"/>
              <w:jc w:val="both"/>
              <w:rPr>
                <w:rFonts w:cs="Arial"/>
                <w:szCs w:val="20"/>
                <w:lang w:val="sl-SI"/>
              </w:rPr>
            </w:pPr>
            <w:r w:rsidRPr="00BC75D4">
              <w:rPr>
                <w:rFonts w:cs="Arial"/>
                <w:szCs w:val="20"/>
                <w:lang w:val="sl-SI"/>
              </w:rPr>
              <w:t>23</w:t>
            </w:r>
          </w:p>
        </w:tc>
        <w:tc>
          <w:tcPr>
            <w:tcW w:w="2840" w:type="dxa"/>
            <w:hideMark/>
          </w:tcPr>
          <w:p w14:paraId="2D7AF4D7" w14:textId="77777777" w:rsidR="00BC75D4" w:rsidRPr="00BC75D4" w:rsidRDefault="00BC75D4" w:rsidP="00BC75D4">
            <w:pPr>
              <w:spacing w:line="240" w:lineRule="exact"/>
              <w:jc w:val="both"/>
              <w:rPr>
                <w:rFonts w:cs="Arial"/>
                <w:szCs w:val="20"/>
                <w:lang w:val="sl-SI"/>
              </w:rPr>
            </w:pPr>
            <w:r w:rsidRPr="00BC75D4">
              <w:rPr>
                <w:rFonts w:cs="Arial"/>
                <w:szCs w:val="20"/>
                <w:lang w:val="sl-SI"/>
              </w:rPr>
              <w:t>1090,65</w:t>
            </w:r>
          </w:p>
        </w:tc>
        <w:tc>
          <w:tcPr>
            <w:tcW w:w="1640" w:type="dxa"/>
            <w:hideMark/>
          </w:tcPr>
          <w:p w14:paraId="610FB591" w14:textId="77777777" w:rsidR="00BC75D4" w:rsidRPr="00BC75D4" w:rsidRDefault="00BC75D4" w:rsidP="00BC75D4">
            <w:pPr>
              <w:spacing w:line="240" w:lineRule="exact"/>
              <w:jc w:val="both"/>
              <w:rPr>
                <w:rFonts w:cs="Arial"/>
                <w:szCs w:val="20"/>
                <w:lang w:val="sl-SI"/>
              </w:rPr>
            </w:pPr>
            <w:r w:rsidRPr="00BC75D4">
              <w:rPr>
                <w:rFonts w:cs="Arial"/>
                <w:szCs w:val="20"/>
                <w:lang w:val="sl-SI"/>
              </w:rPr>
              <w:t>56</w:t>
            </w:r>
          </w:p>
        </w:tc>
        <w:tc>
          <w:tcPr>
            <w:tcW w:w="2000" w:type="dxa"/>
            <w:hideMark/>
          </w:tcPr>
          <w:p w14:paraId="32B5773C" w14:textId="77777777" w:rsidR="00BC75D4" w:rsidRPr="00BC75D4" w:rsidRDefault="00BC75D4" w:rsidP="00BC75D4">
            <w:pPr>
              <w:spacing w:line="240" w:lineRule="exact"/>
              <w:jc w:val="both"/>
              <w:rPr>
                <w:rFonts w:cs="Arial"/>
                <w:szCs w:val="20"/>
                <w:lang w:val="sl-SI"/>
              </w:rPr>
            </w:pPr>
            <w:r w:rsidRPr="00BC75D4">
              <w:rPr>
                <w:rFonts w:cs="Arial"/>
                <w:szCs w:val="20"/>
                <w:lang w:val="sl-SI"/>
              </w:rPr>
              <w:t>3979,04</w:t>
            </w:r>
          </w:p>
        </w:tc>
      </w:tr>
      <w:tr w:rsidR="00BC75D4" w:rsidRPr="00BC75D4" w14:paraId="706377A9" w14:textId="77777777" w:rsidTr="0040388C">
        <w:trPr>
          <w:trHeight w:val="236"/>
          <w:jc w:val="center"/>
        </w:trPr>
        <w:tc>
          <w:tcPr>
            <w:tcW w:w="900" w:type="dxa"/>
            <w:hideMark/>
          </w:tcPr>
          <w:p w14:paraId="3F994850" w14:textId="77777777" w:rsidR="00BC75D4" w:rsidRPr="00BC75D4" w:rsidRDefault="00BC75D4" w:rsidP="00BC75D4">
            <w:pPr>
              <w:spacing w:line="240" w:lineRule="exact"/>
              <w:jc w:val="both"/>
              <w:rPr>
                <w:rFonts w:cs="Arial"/>
                <w:szCs w:val="20"/>
                <w:lang w:val="sl-SI"/>
              </w:rPr>
            </w:pPr>
            <w:r w:rsidRPr="00BC75D4">
              <w:rPr>
                <w:rFonts w:cs="Arial"/>
                <w:szCs w:val="20"/>
                <w:lang w:val="sl-SI"/>
              </w:rPr>
              <w:t>24</w:t>
            </w:r>
          </w:p>
        </w:tc>
        <w:tc>
          <w:tcPr>
            <w:tcW w:w="2840" w:type="dxa"/>
            <w:hideMark/>
          </w:tcPr>
          <w:p w14:paraId="7678027F" w14:textId="77777777" w:rsidR="00BC75D4" w:rsidRPr="00BC75D4" w:rsidRDefault="00BC75D4" w:rsidP="00BC75D4">
            <w:pPr>
              <w:spacing w:line="240" w:lineRule="exact"/>
              <w:jc w:val="both"/>
              <w:rPr>
                <w:rFonts w:cs="Arial"/>
                <w:szCs w:val="20"/>
                <w:lang w:val="sl-SI"/>
              </w:rPr>
            </w:pPr>
            <w:r w:rsidRPr="00BC75D4">
              <w:rPr>
                <w:rFonts w:cs="Arial"/>
                <w:szCs w:val="20"/>
                <w:lang w:val="sl-SI"/>
              </w:rPr>
              <w:t>1134,27</w:t>
            </w:r>
          </w:p>
        </w:tc>
        <w:tc>
          <w:tcPr>
            <w:tcW w:w="1640" w:type="dxa"/>
            <w:hideMark/>
          </w:tcPr>
          <w:p w14:paraId="7504AF61" w14:textId="77777777" w:rsidR="00BC75D4" w:rsidRPr="00BC75D4" w:rsidRDefault="00BC75D4" w:rsidP="00BC75D4">
            <w:pPr>
              <w:spacing w:line="240" w:lineRule="exact"/>
              <w:jc w:val="both"/>
              <w:rPr>
                <w:rFonts w:cs="Arial"/>
                <w:szCs w:val="20"/>
                <w:lang w:val="sl-SI"/>
              </w:rPr>
            </w:pPr>
            <w:r w:rsidRPr="00BC75D4">
              <w:rPr>
                <w:rFonts w:cs="Arial"/>
                <w:szCs w:val="20"/>
                <w:lang w:val="sl-SI"/>
              </w:rPr>
              <w:t>57</w:t>
            </w:r>
          </w:p>
        </w:tc>
        <w:tc>
          <w:tcPr>
            <w:tcW w:w="2000" w:type="dxa"/>
            <w:hideMark/>
          </w:tcPr>
          <w:p w14:paraId="4FC91625" w14:textId="77777777" w:rsidR="00BC75D4" w:rsidRPr="00BC75D4" w:rsidRDefault="00BC75D4" w:rsidP="00BC75D4">
            <w:pPr>
              <w:spacing w:line="240" w:lineRule="exact"/>
              <w:jc w:val="both"/>
              <w:rPr>
                <w:rFonts w:cs="Arial"/>
                <w:szCs w:val="20"/>
                <w:lang w:val="sl-SI"/>
              </w:rPr>
            </w:pPr>
            <w:r w:rsidRPr="00BC75D4">
              <w:rPr>
                <w:rFonts w:cs="Arial"/>
                <w:szCs w:val="20"/>
                <w:lang w:val="sl-SI"/>
              </w:rPr>
              <w:t>4138,22</w:t>
            </w:r>
          </w:p>
        </w:tc>
      </w:tr>
      <w:tr w:rsidR="00BC75D4" w:rsidRPr="00BC75D4" w14:paraId="1C77759F" w14:textId="77777777" w:rsidTr="0040388C">
        <w:trPr>
          <w:trHeight w:val="236"/>
          <w:jc w:val="center"/>
        </w:trPr>
        <w:tc>
          <w:tcPr>
            <w:tcW w:w="900" w:type="dxa"/>
            <w:hideMark/>
          </w:tcPr>
          <w:p w14:paraId="32F26FA7" w14:textId="77777777" w:rsidR="00BC75D4" w:rsidRPr="00BC75D4" w:rsidRDefault="00BC75D4" w:rsidP="00BC75D4">
            <w:pPr>
              <w:spacing w:line="240" w:lineRule="exact"/>
              <w:jc w:val="both"/>
              <w:rPr>
                <w:rFonts w:cs="Arial"/>
                <w:szCs w:val="20"/>
                <w:lang w:val="sl-SI"/>
              </w:rPr>
            </w:pPr>
            <w:r w:rsidRPr="00BC75D4">
              <w:rPr>
                <w:rFonts w:cs="Arial"/>
                <w:szCs w:val="20"/>
                <w:lang w:val="sl-SI"/>
              </w:rPr>
              <w:t>25</w:t>
            </w:r>
          </w:p>
        </w:tc>
        <w:tc>
          <w:tcPr>
            <w:tcW w:w="2840" w:type="dxa"/>
            <w:hideMark/>
          </w:tcPr>
          <w:p w14:paraId="19B22AD1" w14:textId="77777777" w:rsidR="00BC75D4" w:rsidRPr="00BC75D4" w:rsidRDefault="00BC75D4" w:rsidP="00BC75D4">
            <w:pPr>
              <w:spacing w:line="240" w:lineRule="exact"/>
              <w:jc w:val="both"/>
              <w:rPr>
                <w:rFonts w:cs="Arial"/>
                <w:szCs w:val="20"/>
                <w:lang w:val="sl-SI"/>
              </w:rPr>
            </w:pPr>
            <w:r w:rsidRPr="00BC75D4">
              <w:rPr>
                <w:rFonts w:cs="Arial"/>
                <w:szCs w:val="20"/>
                <w:lang w:val="sl-SI"/>
              </w:rPr>
              <w:t>1179,63</w:t>
            </w:r>
          </w:p>
        </w:tc>
        <w:tc>
          <w:tcPr>
            <w:tcW w:w="1640" w:type="dxa"/>
            <w:hideMark/>
          </w:tcPr>
          <w:p w14:paraId="632162E6" w14:textId="77777777" w:rsidR="00BC75D4" w:rsidRPr="00BC75D4" w:rsidRDefault="00BC75D4" w:rsidP="00BC75D4">
            <w:pPr>
              <w:spacing w:line="240" w:lineRule="exact"/>
              <w:jc w:val="both"/>
              <w:rPr>
                <w:rFonts w:cs="Arial"/>
                <w:szCs w:val="20"/>
                <w:lang w:val="sl-SI"/>
              </w:rPr>
            </w:pPr>
            <w:r w:rsidRPr="00BC75D4">
              <w:rPr>
                <w:rFonts w:cs="Arial"/>
                <w:szCs w:val="20"/>
                <w:lang w:val="sl-SI"/>
              </w:rPr>
              <w:t>58</w:t>
            </w:r>
          </w:p>
        </w:tc>
        <w:tc>
          <w:tcPr>
            <w:tcW w:w="2000" w:type="dxa"/>
            <w:hideMark/>
          </w:tcPr>
          <w:p w14:paraId="12DBFCA1" w14:textId="77777777" w:rsidR="00BC75D4" w:rsidRPr="00BC75D4" w:rsidRDefault="00BC75D4" w:rsidP="00BC75D4">
            <w:pPr>
              <w:spacing w:line="240" w:lineRule="exact"/>
              <w:jc w:val="both"/>
              <w:rPr>
                <w:rFonts w:cs="Arial"/>
                <w:szCs w:val="20"/>
                <w:lang w:val="sl-SI"/>
              </w:rPr>
            </w:pPr>
            <w:r w:rsidRPr="00BC75D4">
              <w:rPr>
                <w:rFonts w:cs="Arial"/>
                <w:szCs w:val="20"/>
                <w:lang w:val="sl-SI"/>
              </w:rPr>
              <w:t>4303,74</w:t>
            </w:r>
          </w:p>
        </w:tc>
      </w:tr>
      <w:tr w:rsidR="00BC75D4" w:rsidRPr="00BC75D4" w14:paraId="0EACB8A3" w14:textId="77777777" w:rsidTr="0040388C">
        <w:trPr>
          <w:trHeight w:val="236"/>
          <w:jc w:val="center"/>
        </w:trPr>
        <w:tc>
          <w:tcPr>
            <w:tcW w:w="900" w:type="dxa"/>
            <w:hideMark/>
          </w:tcPr>
          <w:p w14:paraId="2DE81307" w14:textId="77777777" w:rsidR="00BC75D4" w:rsidRPr="00BC75D4" w:rsidRDefault="00BC75D4" w:rsidP="00BC75D4">
            <w:pPr>
              <w:spacing w:line="240" w:lineRule="exact"/>
              <w:jc w:val="both"/>
              <w:rPr>
                <w:rFonts w:cs="Arial"/>
                <w:szCs w:val="20"/>
                <w:lang w:val="sl-SI"/>
              </w:rPr>
            </w:pPr>
            <w:r w:rsidRPr="00BC75D4">
              <w:rPr>
                <w:rFonts w:cs="Arial"/>
                <w:szCs w:val="20"/>
                <w:lang w:val="sl-SI"/>
              </w:rPr>
              <w:t>26</w:t>
            </w:r>
          </w:p>
        </w:tc>
        <w:tc>
          <w:tcPr>
            <w:tcW w:w="2840" w:type="dxa"/>
            <w:hideMark/>
          </w:tcPr>
          <w:p w14:paraId="3B2ECB36" w14:textId="77777777" w:rsidR="00BC75D4" w:rsidRPr="00BC75D4" w:rsidRDefault="00BC75D4" w:rsidP="00BC75D4">
            <w:pPr>
              <w:spacing w:line="240" w:lineRule="exact"/>
              <w:jc w:val="both"/>
              <w:rPr>
                <w:rFonts w:cs="Arial"/>
                <w:szCs w:val="20"/>
                <w:lang w:val="sl-SI"/>
              </w:rPr>
            </w:pPr>
            <w:r w:rsidRPr="00BC75D4">
              <w:rPr>
                <w:rFonts w:cs="Arial"/>
                <w:szCs w:val="20"/>
                <w:lang w:val="sl-SI"/>
              </w:rPr>
              <w:t>1226,82</w:t>
            </w:r>
          </w:p>
        </w:tc>
        <w:tc>
          <w:tcPr>
            <w:tcW w:w="1640" w:type="dxa"/>
            <w:hideMark/>
          </w:tcPr>
          <w:p w14:paraId="0D369E07" w14:textId="77777777" w:rsidR="00BC75D4" w:rsidRPr="00BC75D4" w:rsidRDefault="00BC75D4" w:rsidP="00BC75D4">
            <w:pPr>
              <w:spacing w:line="240" w:lineRule="exact"/>
              <w:jc w:val="both"/>
              <w:rPr>
                <w:rFonts w:cs="Arial"/>
                <w:szCs w:val="20"/>
                <w:lang w:val="sl-SI"/>
              </w:rPr>
            </w:pPr>
            <w:r w:rsidRPr="00BC75D4">
              <w:rPr>
                <w:rFonts w:cs="Arial"/>
                <w:szCs w:val="20"/>
                <w:lang w:val="sl-SI"/>
              </w:rPr>
              <w:t>59</w:t>
            </w:r>
          </w:p>
        </w:tc>
        <w:tc>
          <w:tcPr>
            <w:tcW w:w="2000" w:type="dxa"/>
            <w:hideMark/>
          </w:tcPr>
          <w:p w14:paraId="035929FE" w14:textId="77777777" w:rsidR="00BC75D4" w:rsidRPr="00BC75D4" w:rsidRDefault="00BC75D4" w:rsidP="00BC75D4">
            <w:pPr>
              <w:spacing w:line="240" w:lineRule="exact"/>
              <w:jc w:val="both"/>
              <w:rPr>
                <w:rFonts w:cs="Arial"/>
                <w:szCs w:val="20"/>
                <w:lang w:val="sl-SI"/>
              </w:rPr>
            </w:pPr>
            <w:r w:rsidRPr="00BC75D4">
              <w:rPr>
                <w:rFonts w:cs="Arial"/>
                <w:szCs w:val="20"/>
                <w:lang w:val="sl-SI"/>
              </w:rPr>
              <w:t>4475,88</w:t>
            </w:r>
          </w:p>
        </w:tc>
      </w:tr>
      <w:tr w:rsidR="00BC75D4" w:rsidRPr="00BC75D4" w14:paraId="265096EC" w14:textId="77777777" w:rsidTr="0040388C">
        <w:trPr>
          <w:trHeight w:val="236"/>
          <w:jc w:val="center"/>
        </w:trPr>
        <w:tc>
          <w:tcPr>
            <w:tcW w:w="900" w:type="dxa"/>
            <w:hideMark/>
          </w:tcPr>
          <w:p w14:paraId="13340402" w14:textId="77777777" w:rsidR="00BC75D4" w:rsidRPr="00BC75D4" w:rsidRDefault="00BC75D4" w:rsidP="00BC75D4">
            <w:pPr>
              <w:spacing w:line="240" w:lineRule="exact"/>
              <w:jc w:val="both"/>
              <w:rPr>
                <w:rFonts w:cs="Arial"/>
                <w:szCs w:val="20"/>
                <w:lang w:val="sl-SI"/>
              </w:rPr>
            </w:pPr>
            <w:r w:rsidRPr="00BC75D4">
              <w:rPr>
                <w:rFonts w:cs="Arial"/>
                <w:szCs w:val="20"/>
                <w:lang w:val="sl-SI"/>
              </w:rPr>
              <w:t>27</w:t>
            </w:r>
          </w:p>
        </w:tc>
        <w:tc>
          <w:tcPr>
            <w:tcW w:w="2840" w:type="dxa"/>
            <w:hideMark/>
          </w:tcPr>
          <w:p w14:paraId="4D8A7C72" w14:textId="77777777" w:rsidR="00BC75D4" w:rsidRPr="00BC75D4" w:rsidRDefault="00BC75D4" w:rsidP="00BC75D4">
            <w:pPr>
              <w:spacing w:line="240" w:lineRule="exact"/>
              <w:jc w:val="both"/>
              <w:rPr>
                <w:rFonts w:cs="Arial"/>
                <w:szCs w:val="20"/>
                <w:lang w:val="sl-SI"/>
              </w:rPr>
            </w:pPr>
            <w:r w:rsidRPr="00BC75D4">
              <w:rPr>
                <w:rFonts w:cs="Arial"/>
                <w:szCs w:val="20"/>
                <w:lang w:val="sl-SI"/>
              </w:rPr>
              <w:t>1275,88</w:t>
            </w:r>
          </w:p>
        </w:tc>
        <w:tc>
          <w:tcPr>
            <w:tcW w:w="1640" w:type="dxa"/>
            <w:hideMark/>
          </w:tcPr>
          <w:p w14:paraId="54D4F256" w14:textId="77777777" w:rsidR="00BC75D4" w:rsidRPr="00BC75D4" w:rsidRDefault="00BC75D4" w:rsidP="00BC75D4">
            <w:pPr>
              <w:spacing w:line="240" w:lineRule="exact"/>
              <w:jc w:val="both"/>
              <w:rPr>
                <w:rFonts w:cs="Arial"/>
                <w:szCs w:val="20"/>
                <w:lang w:val="sl-SI"/>
              </w:rPr>
            </w:pPr>
            <w:r w:rsidRPr="00BC75D4">
              <w:rPr>
                <w:rFonts w:cs="Arial"/>
                <w:szCs w:val="20"/>
                <w:lang w:val="sl-SI"/>
              </w:rPr>
              <w:t>60</w:t>
            </w:r>
          </w:p>
        </w:tc>
        <w:tc>
          <w:tcPr>
            <w:tcW w:w="2000" w:type="dxa"/>
            <w:hideMark/>
          </w:tcPr>
          <w:p w14:paraId="0861ADAE" w14:textId="77777777" w:rsidR="00BC75D4" w:rsidRPr="00BC75D4" w:rsidRDefault="00BC75D4" w:rsidP="00BC75D4">
            <w:pPr>
              <w:spacing w:line="240" w:lineRule="exact"/>
              <w:jc w:val="both"/>
              <w:rPr>
                <w:rFonts w:cs="Arial"/>
                <w:szCs w:val="20"/>
                <w:lang w:val="sl-SI"/>
              </w:rPr>
            </w:pPr>
            <w:r w:rsidRPr="00BC75D4">
              <w:rPr>
                <w:rFonts w:cs="Arial"/>
                <w:szCs w:val="20"/>
                <w:lang w:val="sl-SI"/>
              </w:rPr>
              <w:t>4654,92</w:t>
            </w:r>
          </w:p>
        </w:tc>
      </w:tr>
      <w:tr w:rsidR="00BC75D4" w:rsidRPr="00BC75D4" w14:paraId="2E28770A" w14:textId="77777777" w:rsidTr="0040388C">
        <w:trPr>
          <w:trHeight w:val="236"/>
          <w:jc w:val="center"/>
        </w:trPr>
        <w:tc>
          <w:tcPr>
            <w:tcW w:w="900" w:type="dxa"/>
            <w:hideMark/>
          </w:tcPr>
          <w:p w14:paraId="7CBAA3BD" w14:textId="77777777" w:rsidR="00BC75D4" w:rsidRPr="00BC75D4" w:rsidRDefault="00BC75D4" w:rsidP="00BC75D4">
            <w:pPr>
              <w:spacing w:line="240" w:lineRule="exact"/>
              <w:jc w:val="both"/>
              <w:rPr>
                <w:rFonts w:cs="Arial"/>
                <w:szCs w:val="20"/>
                <w:lang w:val="sl-SI"/>
              </w:rPr>
            </w:pPr>
            <w:r w:rsidRPr="00BC75D4">
              <w:rPr>
                <w:rFonts w:cs="Arial"/>
                <w:szCs w:val="20"/>
                <w:lang w:val="sl-SI"/>
              </w:rPr>
              <w:t>28</w:t>
            </w:r>
          </w:p>
        </w:tc>
        <w:tc>
          <w:tcPr>
            <w:tcW w:w="2840" w:type="dxa"/>
            <w:hideMark/>
          </w:tcPr>
          <w:p w14:paraId="1F2878DB" w14:textId="77777777" w:rsidR="00BC75D4" w:rsidRPr="00BC75D4" w:rsidRDefault="00BC75D4" w:rsidP="00BC75D4">
            <w:pPr>
              <w:spacing w:line="240" w:lineRule="exact"/>
              <w:jc w:val="both"/>
              <w:rPr>
                <w:rFonts w:cs="Arial"/>
                <w:szCs w:val="20"/>
                <w:lang w:val="sl-SI"/>
              </w:rPr>
            </w:pPr>
            <w:r w:rsidRPr="00BC75D4">
              <w:rPr>
                <w:rFonts w:cs="Arial"/>
                <w:szCs w:val="20"/>
                <w:lang w:val="sl-SI"/>
              </w:rPr>
              <w:t>1326,92</w:t>
            </w:r>
          </w:p>
        </w:tc>
        <w:tc>
          <w:tcPr>
            <w:tcW w:w="1640" w:type="dxa"/>
            <w:hideMark/>
          </w:tcPr>
          <w:p w14:paraId="6EB13250" w14:textId="77777777" w:rsidR="00BC75D4" w:rsidRPr="00BC75D4" w:rsidRDefault="00BC75D4" w:rsidP="00BC75D4">
            <w:pPr>
              <w:spacing w:line="240" w:lineRule="exact"/>
              <w:jc w:val="both"/>
              <w:rPr>
                <w:rFonts w:cs="Arial"/>
                <w:szCs w:val="20"/>
                <w:lang w:val="sl-SI"/>
              </w:rPr>
            </w:pPr>
            <w:r w:rsidRPr="00BC75D4">
              <w:rPr>
                <w:rFonts w:cs="Arial"/>
                <w:szCs w:val="20"/>
                <w:lang w:val="sl-SI"/>
              </w:rPr>
              <w:t>61</w:t>
            </w:r>
          </w:p>
        </w:tc>
        <w:tc>
          <w:tcPr>
            <w:tcW w:w="2000" w:type="dxa"/>
            <w:hideMark/>
          </w:tcPr>
          <w:p w14:paraId="1EE40F37" w14:textId="77777777" w:rsidR="00BC75D4" w:rsidRPr="00BC75D4" w:rsidRDefault="00BC75D4" w:rsidP="00BC75D4">
            <w:pPr>
              <w:spacing w:line="240" w:lineRule="exact"/>
              <w:jc w:val="both"/>
              <w:rPr>
                <w:rFonts w:cs="Arial"/>
                <w:szCs w:val="20"/>
                <w:lang w:val="sl-SI"/>
              </w:rPr>
            </w:pPr>
            <w:r w:rsidRPr="00BC75D4">
              <w:rPr>
                <w:rFonts w:cs="Arial"/>
                <w:szCs w:val="20"/>
                <w:lang w:val="sl-SI"/>
              </w:rPr>
              <w:t>4841,11</w:t>
            </w:r>
          </w:p>
        </w:tc>
      </w:tr>
      <w:tr w:rsidR="00BC75D4" w:rsidRPr="00BC75D4" w14:paraId="621DB21E" w14:textId="77777777" w:rsidTr="0040388C">
        <w:trPr>
          <w:trHeight w:val="243"/>
          <w:jc w:val="center"/>
        </w:trPr>
        <w:tc>
          <w:tcPr>
            <w:tcW w:w="900" w:type="dxa"/>
            <w:hideMark/>
          </w:tcPr>
          <w:p w14:paraId="616B8E1A" w14:textId="77777777" w:rsidR="00BC75D4" w:rsidRPr="00BC75D4" w:rsidRDefault="00BC75D4" w:rsidP="00BC75D4">
            <w:pPr>
              <w:spacing w:line="240" w:lineRule="exact"/>
              <w:jc w:val="both"/>
              <w:rPr>
                <w:rFonts w:cs="Arial"/>
                <w:szCs w:val="20"/>
                <w:lang w:val="sl-SI"/>
              </w:rPr>
            </w:pPr>
            <w:r w:rsidRPr="00BC75D4">
              <w:rPr>
                <w:rFonts w:cs="Arial"/>
                <w:szCs w:val="20"/>
                <w:lang w:val="sl-SI"/>
              </w:rPr>
              <w:t>29</w:t>
            </w:r>
          </w:p>
        </w:tc>
        <w:tc>
          <w:tcPr>
            <w:tcW w:w="2840" w:type="dxa"/>
            <w:hideMark/>
          </w:tcPr>
          <w:p w14:paraId="7637629E" w14:textId="77777777" w:rsidR="00BC75D4" w:rsidRPr="00BC75D4" w:rsidRDefault="00BC75D4" w:rsidP="00BC75D4">
            <w:pPr>
              <w:spacing w:line="240" w:lineRule="exact"/>
              <w:jc w:val="both"/>
              <w:rPr>
                <w:rFonts w:cs="Arial"/>
                <w:szCs w:val="20"/>
                <w:lang w:val="sl-SI"/>
              </w:rPr>
            </w:pPr>
            <w:r w:rsidRPr="00BC75D4">
              <w:rPr>
                <w:rFonts w:cs="Arial"/>
                <w:szCs w:val="20"/>
                <w:lang w:val="sl-SI"/>
              </w:rPr>
              <w:t>1380,01</w:t>
            </w:r>
          </w:p>
        </w:tc>
        <w:tc>
          <w:tcPr>
            <w:tcW w:w="1640" w:type="dxa"/>
            <w:hideMark/>
          </w:tcPr>
          <w:p w14:paraId="45CF4C2C" w14:textId="77777777" w:rsidR="00BC75D4" w:rsidRPr="00BC75D4" w:rsidRDefault="00BC75D4" w:rsidP="00BC75D4">
            <w:pPr>
              <w:spacing w:line="240" w:lineRule="exact"/>
              <w:jc w:val="both"/>
              <w:rPr>
                <w:rFonts w:cs="Arial"/>
                <w:szCs w:val="20"/>
                <w:lang w:val="sl-SI"/>
              </w:rPr>
            </w:pPr>
            <w:r w:rsidRPr="00BC75D4">
              <w:rPr>
                <w:rFonts w:cs="Arial"/>
                <w:szCs w:val="20"/>
                <w:lang w:val="sl-SI"/>
              </w:rPr>
              <w:t>62</w:t>
            </w:r>
          </w:p>
        </w:tc>
        <w:tc>
          <w:tcPr>
            <w:tcW w:w="2000" w:type="dxa"/>
            <w:hideMark/>
          </w:tcPr>
          <w:p w14:paraId="3CAA08BB" w14:textId="77777777" w:rsidR="00BC75D4" w:rsidRPr="00BC75D4" w:rsidRDefault="00BC75D4" w:rsidP="00BC75D4">
            <w:pPr>
              <w:spacing w:line="240" w:lineRule="exact"/>
              <w:jc w:val="both"/>
              <w:rPr>
                <w:rFonts w:cs="Arial"/>
                <w:szCs w:val="20"/>
                <w:lang w:val="sl-SI"/>
              </w:rPr>
            </w:pPr>
            <w:r w:rsidRPr="00BC75D4">
              <w:rPr>
                <w:rFonts w:cs="Arial"/>
                <w:szCs w:val="20"/>
                <w:lang w:val="sl-SI"/>
              </w:rPr>
              <w:t>5034,77</w:t>
            </w:r>
          </w:p>
        </w:tc>
      </w:tr>
      <w:tr w:rsidR="00BC75D4" w:rsidRPr="00BC75D4" w14:paraId="64C5C759" w14:textId="77777777" w:rsidTr="0040388C">
        <w:trPr>
          <w:trHeight w:val="236"/>
          <w:jc w:val="center"/>
        </w:trPr>
        <w:tc>
          <w:tcPr>
            <w:tcW w:w="900" w:type="dxa"/>
            <w:hideMark/>
          </w:tcPr>
          <w:p w14:paraId="28470DFA" w14:textId="77777777" w:rsidR="00BC75D4" w:rsidRPr="00BC75D4" w:rsidRDefault="00BC75D4" w:rsidP="00BC75D4">
            <w:pPr>
              <w:spacing w:line="240" w:lineRule="exact"/>
              <w:jc w:val="both"/>
              <w:rPr>
                <w:rFonts w:cs="Arial"/>
                <w:szCs w:val="20"/>
                <w:lang w:val="sl-SI"/>
              </w:rPr>
            </w:pPr>
            <w:r w:rsidRPr="00BC75D4">
              <w:rPr>
                <w:rFonts w:cs="Arial"/>
                <w:szCs w:val="20"/>
                <w:lang w:val="sl-SI"/>
              </w:rPr>
              <w:t>30</w:t>
            </w:r>
          </w:p>
        </w:tc>
        <w:tc>
          <w:tcPr>
            <w:tcW w:w="2840" w:type="dxa"/>
            <w:hideMark/>
          </w:tcPr>
          <w:p w14:paraId="48F00AEF" w14:textId="77777777" w:rsidR="00BC75D4" w:rsidRPr="00BC75D4" w:rsidRDefault="00BC75D4" w:rsidP="00BC75D4">
            <w:pPr>
              <w:spacing w:line="240" w:lineRule="exact"/>
              <w:jc w:val="both"/>
              <w:rPr>
                <w:rFonts w:cs="Arial"/>
                <w:szCs w:val="20"/>
                <w:lang w:val="sl-SI"/>
              </w:rPr>
            </w:pPr>
            <w:r w:rsidRPr="00BC75D4">
              <w:rPr>
                <w:rFonts w:cs="Arial"/>
                <w:szCs w:val="20"/>
                <w:lang w:val="sl-SI"/>
              </w:rPr>
              <w:t>1435,20</w:t>
            </w:r>
          </w:p>
        </w:tc>
        <w:tc>
          <w:tcPr>
            <w:tcW w:w="1640" w:type="dxa"/>
            <w:hideMark/>
          </w:tcPr>
          <w:p w14:paraId="3BE047DE" w14:textId="77777777" w:rsidR="00BC75D4" w:rsidRPr="00BC75D4" w:rsidRDefault="00BC75D4" w:rsidP="00BC75D4">
            <w:pPr>
              <w:spacing w:line="240" w:lineRule="exact"/>
              <w:jc w:val="both"/>
              <w:rPr>
                <w:rFonts w:cs="Arial"/>
                <w:szCs w:val="20"/>
                <w:lang w:val="sl-SI"/>
              </w:rPr>
            </w:pPr>
            <w:r w:rsidRPr="00BC75D4">
              <w:rPr>
                <w:rFonts w:cs="Arial"/>
                <w:szCs w:val="20"/>
                <w:lang w:val="sl-SI"/>
              </w:rPr>
              <w:t>63</w:t>
            </w:r>
          </w:p>
        </w:tc>
        <w:tc>
          <w:tcPr>
            <w:tcW w:w="2000" w:type="dxa"/>
            <w:hideMark/>
          </w:tcPr>
          <w:p w14:paraId="2631EFB5" w14:textId="77777777" w:rsidR="00BC75D4" w:rsidRPr="00BC75D4" w:rsidRDefault="00BC75D4" w:rsidP="00BC75D4">
            <w:pPr>
              <w:spacing w:line="240" w:lineRule="exact"/>
              <w:jc w:val="both"/>
              <w:rPr>
                <w:rFonts w:cs="Arial"/>
                <w:szCs w:val="20"/>
                <w:lang w:val="sl-SI"/>
              </w:rPr>
            </w:pPr>
            <w:r w:rsidRPr="00BC75D4">
              <w:rPr>
                <w:rFonts w:cs="Arial"/>
                <w:szCs w:val="20"/>
                <w:lang w:val="sl-SI"/>
              </w:rPr>
              <w:t>5236,15</w:t>
            </w:r>
          </w:p>
        </w:tc>
      </w:tr>
      <w:tr w:rsidR="00BC75D4" w:rsidRPr="00BC75D4" w14:paraId="46197204" w14:textId="77777777" w:rsidTr="0040388C">
        <w:trPr>
          <w:trHeight w:val="236"/>
          <w:jc w:val="center"/>
        </w:trPr>
        <w:tc>
          <w:tcPr>
            <w:tcW w:w="900" w:type="dxa"/>
            <w:hideMark/>
          </w:tcPr>
          <w:p w14:paraId="127D7DF2" w14:textId="77777777" w:rsidR="00BC75D4" w:rsidRPr="00BC75D4" w:rsidRDefault="00BC75D4" w:rsidP="00BC75D4">
            <w:pPr>
              <w:spacing w:line="240" w:lineRule="exact"/>
              <w:jc w:val="both"/>
              <w:rPr>
                <w:rFonts w:cs="Arial"/>
                <w:szCs w:val="20"/>
                <w:lang w:val="sl-SI"/>
              </w:rPr>
            </w:pPr>
            <w:r w:rsidRPr="00BC75D4">
              <w:rPr>
                <w:rFonts w:cs="Arial"/>
                <w:szCs w:val="20"/>
                <w:lang w:val="sl-SI"/>
              </w:rPr>
              <w:t>31</w:t>
            </w:r>
          </w:p>
        </w:tc>
        <w:tc>
          <w:tcPr>
            <w:tcW w:w="2840" w:type="dxa"/>
            <w:hideMark/>
          </w:tcPr>
          <w:p w14:paraId="735573DE" w14:textId="77777777" w:rsidR="00BC75D4" w:rsidRPr="00BC75D4" w:rsidRDefault="00BC75D4" w:rsidP="00BC75D4">
            <w:pPr>
              <w:spacing w:line="240" w:lineRule="exact"/>
              <w:jc w:val="both"/>
              <w:rPr>
                <w:rFonts w:cs="Arial"/>
                <w:szCs w:val="20"/>
                <w:lang w:val="sl-SI"/>
              </w:rPr>
            </w:pPr>
            <w:r w:rsidRPr="00BC75D4">
              <w:rPr>
                <w:rFonts w:cs="Arial"/>
                <w:szCs w:val="20"/>
                <w:lang w:val="sl-SI"/>
              </w:rPr>
              <w:t>1492,62</w:t>
            </w:r>
          </w:p>
        </w:tc>
        <w:tc>
          <w:tcPr>
            <w:tcW w:w="1640" w:type="dxa"/>
            <w:hideMark/>
          </w:tcPr>
          <w:p w14:paraId="304B0C60" w14:textId="77777777" w:rsidR="00BC75D4" w:rsidRPr="00BC75D4" w:rsidRDefault="00BC75D4" w:rsidP="00BC75D4">
            <w:pPr>
              <w:spacing w:line="240" w:lineRule="exact"/>
              <w:jc w:val="both"/>
              <w:rPr>
                <w:rFonts w:cs="Arial"/>
                <w:szCs w:val="20"/>
                <w:lang w:val="sl-SI"/>
              </w:rPr>
            </w:pPr>
            <w:r w:rsidRPr="00BC75D4">
              <w:rPr>
                <w:rFonts w:cs="Arial"/>
                <w:szCs w:val="20"/>
                <w:lang w:val="sl-SI"/>
              </w:rPr>
              <w:t>64</w:t>
            </w:r>
          </w:p>
        </w:tc>
        <w:tc>
          <w:tcPr>
            <w:tcW w:w="2000" w:type="dxa"/>
            <w:hideMark/>
          </w:tcPr>
          <w:p w14:paraId="4A269B1D" w14:textId="77777777" w:rsidR="00BC75D4" w:rsidRPr="00BC75D4" w:rsidRDefault="00BC75D4" w:rsidP="00BC75D4">
            <w:pPr>
              <w:spacing w:line="240" w:lineRule="exact"/>
              <w:jc w:val="both"/>
              <w:rPr>
                <w:rFonts w:cs="Arial"/>
                <w:szCs w:val="20"/>
                <w:lang w:val="sl-SI"/>
              </w:rPr>
            </w:pPr>
            <w:r w:rsidRPr="00BC75D4">
              <w:rPr>
                <w:rFonts w:cs="Arial"/>
                <w:szCs w:val="20"/>
                <w:lang w:val="sl-SI"/>
              </w:rPr>
              <w:t>5445,60</w:t>
            </w:r>
          </w:p>
        </w:tc>
      </w:tr>
      <w:tr w:rsidR="00BC75D4" w:rsidRPr="00BC75D4" w14:paraId="5357A70F" w14:textId="77777777" w:rsidTr="0040388C">
        <w:trPr>
          <w:trHeight w:val="236"/>
          <w:jc w:val="center"/>
        </w:trPr>
        <w:tc>
          <w:tcPr>
            <w:tcW w:w="900" w:type="dxa"/>
            <w:hideMark/>
          </w:tcPr>
          <w:p w14:paraId="5937CC0F" w14:textId="77777777" w:rsidR="00BC75D4" w:rsidRPr="00BC75D4" w:rsidRDefault="00BC75D4" w:rsidP="00BC75D4">
            <w:pPr>
              <w:spacing w:line="240" w:lineRule="exact"/>
              <w:jc w:val="both"/>
              <w:rPr>
                <w:rFonts w:cs="Arial"/>
                <w:szCs w:val="20"/>
                <w:lang w:val="sl-SI"/>
              </w:rPr>
            </w:pPr>
            <w:r w:rsidRPr="00BC75D4">
              <w:rPr>
                <w:rFonts w:cs="Arial"/>
                <w:szCs w:val="20"/>
                <w:lang w:val="sl-SI"/>
              </w:rPr>
              <w:t>32</w:t>
            </w:r>
          </w:p>
        </w:tc>
        <w:tc>
          <w:tcPr>
            <w:tcW w:w="2840" w:type="dxa"/>
            <w:hideMark/>
          </w:tcPr>
          <w:p w14:paraId="4C9C35AA" w14:textId="77777777" w:rsidR="00BC75D4" w:rsidRPr="00BC75D4" w:rsidRDefault="00BC75D4" w:rsidP="00BC75D4">
            <w:pPr>
              <w:spacing w:line="240" w:lineRule="exact"/>
              <w:jc w:val="both"/>
              <w:rPr>
                <w:rFonts w:cs="Arial"/>
                <w:szCs w:val="20"/>
                <w:lang w:val="sl-SI"/>
              </w:rPr>
            </w:pPr>
            <w:r w:rsidRPr="00BC75D4">
              <w:rPr>
                <w:rFonts w:cs="Arial"/>
                <w:szCs w:val="20"/>
                <w:lang w:val="sl-SI"/>
              </w:rPr>
              <w:t>1552,31</w:t>
            </w:r>
          </w:p>
        </w:tc>
        <w:tc>
          <w:tcPr>
            <w:tcW w:w="1640" w:type="dxa"/>
            <w:hideMark/>
          </w:tcPr>
          <w:p w14:paraId="1FC388E9" w14:textId="77777777" w:rsidR="00BC75D4" w:rsidRPr="00BC75D4" w:rsidRDefault="00BC75D4" w:rsidP="00BC75D4">
            <w:pPr>
              <w:spacing w:line="240" w:lineRule="exact"/>
              <w:jc w:val="both"/>
              <w:rPr>
                <w:rFonts w:cs="Arial"/>
                <w:szCs w:val="20"/>
                <w:lang w:val="sl-SI"/>
              </w:rPr>
            </w:pPr>
            <w:r w:rsidRPr="00BC75D4">
              <w:rPr>
                <w:rFonts w:cs="Arial"/>
                <w:szCs w:val="20"/>
                <w:lang w:val="sl-SI"/>
              </w:rPr>
              <w:t>65</w:t>
            </w:r>
          </w:p>
        </w:tc>
        <w:tc>
          <w:tcPr>
            <w:tcW w:w="2000" w:type="dxa"/>
            <w:hideMark/>
          </w:tcPr>
          <w:p w14:paraId="2B68176E" w14:textId="77777777" w:rsidR="00BC75D4" w:rsidRPr="00BC75D4" w:rsidRDefault="00BC75D4" w:rsidP="00BC75D4">
            <w:pPr>
              <w:spacing w:line="240" w:lineRule="exact"/>
              <w:jc w:val="both"/>
              <w:rPr>
                <w:rFonts w:cs="Arial"/>
                <w:szCs w:val="20"/>
                <w:lang w:val="sl-SI"/>
              </w:rPr>
            </w:pPr>
            <w:r w:rsidRPr="00BC75D4">
              <w:rPr>
                <w:rFonts w:cs="Arial"/>
                <w:szCs w:val="20"/>
                <w:lang w:val="sl-SI"/>
              </w:rPr>
              <w:t>5663,42</w:t>
            </w:r>
          </w:p>
        </w:tc>
      </w:tr>
      <w:tr w:rsidR="00BC75D4" w:rsidRPr="00BC75D4" w14:paraId="5FCEF4B1" w14:textId="77777777" w:rsidTr="0040388C">
        <w:trPr>
          <w:trHeight w:val="236"/>
          <w:jc w:val="center"/>
        </w:trPr>
        <w:tc>
          <w:tcPr>
            <w:tcW w:w="900" w:type="dxa"/>
            <w:hideMark/>
          </w:tcPr>
          <w:p w14:paraId="64B0CAF4" w14:textId="77777777" w:rsidR="00BC75D4" w:rsidRPr="00BC75D4" w:rsidRDefault="00BC75D4" w:rsidP="00BC75D4">
            <w:pPr>
              <w:spacing w:line="240" w:lineRule="exact"/>
              <w:jc w:val="both"/>
              <w:rPr>
                <w:rFonts w:cs="Arial"/>
                <w:szCs w:val="20"/>
                <w:lang w:val="sl-SI"/>
              </w:rPr>
            </w:pPr>
            <w:r w:rsidRPr="00BC75D4">
              <w:rPr>
                <w:rFonts w:cs="Arial"/>
                <w:szCs w:val="20"/>
                <w:lang w:val="sl-SI"/>
              </w:rPr>
              <w:t>33</w:t>
            </w:r>
          </w:p>
        </w:tc>
        <w:tc>
          <w:tcPr>
            <w:tcW w:w="2840" w:type="dxa"/>
            <w:hideMark/>
          </w:tcPr>
          <w:p w14:paraId="6D66F10B" w14:textId="77777777" w:rsidR="00BC75D4" w:rsidRPr="00BC75D4" w:rsidRDefault="00BC75D4" w:rsidP="00BC75D4">
            <w:pPr>
              <w:spacing w:line="240" w:lineRule="exact"/>
              <w:jc w:val="both"/>
              <w:rPr>
                <w:rFonts w:cs="Arial"/>
                <w:szCs w:val="20"/>
                <w:lang w:val="sl-SI"/>
              </w:rPr>
            </w:pPr>
            <w:r w:rsidRPr="00BC75D4">
              <w:rPr>
                <w:rFonts w:cs="Arial"/>
                <w:szCs w:val="20"/>
                <w:lang w:val="sl-SI"/>
              </w:rPr>
              <w:t>1614,40</w:t>
            </w:r>
          </w:p>
        </w:tc>
        <w:tc>
          <w:tcPr>
            <w:tcW w:w="1640" w:type="dxa"/>
            <w:hideMark/>
          </w:tcPr>
          <w:p w14:paraId="213A1D3F" w14:textId="77777777" w:rsidR="00BC75D4" w:rsidRPr="00BC75D4" w:rsidRDefault="00BC75D4" w:rsidP="00BC75D4">
            <w:pPr>
              <w:spacing w:line="240" w:lineRule="exact"/>
              <w:jc w:val="both"/>
              <w:rPr>
                <w:rFonts w:cs="Arial"/>
                <w:szCs w:val="20"/>
                <w:lang w:val="sl-SI"/>
              </w:rPr>
            </w:pPr>
            <w:r w:rsidRPr="00BC75D4">
              <w:rPr>
                <w:rFonts w:cs="Arial"/>
                <w:szCs w:val="20"/>
                <w:lang w:val="sl-SI"/>
              </w:rPr>
              <w:t> </w:t>
            </w:r>
          </w:p>
        </w:tc>
        <w:tc>
          <w:tcPr>
            <w:tcW w:w="2000" w:type="dxa"/>
            <w:hideMark/>
          </w:tcPr>
          <w:p w14:paraId="4D80C33E" w14:textId="77777777" w:rsidR="00BC75D4" w:rsidRPr="00BC75D4" w:rsidRDefault="00BC75D4" w:rsidP="00BC75D4">
            <w:pPr>
              <w:spacing w:line="240" w:lineRule="exact"/>
              <w:jc w:val="both"/>
              <w:rPr>
                <w:rFonts w:cs="Arial"/>
                <w:szCs w:val="20"/>
                <w:lang w:val="sl-SI"/>
              </w:rPr>
            </w:pPr>
            <w:r w:rsidRPr="00BC75D4">
              <w:rPr>
                <w:rFonts w:cs="Arial"/>
                <w:szCs w:val="20"/>
                <w:lang w:val="sl-SI"/>
              </w:rPr>
              <w:t> </w:t>
            </w:r>
          </w:p>
        </w:tc>
      </w:tr>
    </w:tbl>
    <w:p w14:paraId="591A7567" w14:textId="77777777" w:rsidR="006709AD" w:rsidRPr="00FA1FE1" w:rsidRDefault="006709AD" w:rsidP="006709AD">
      <w:pPr>
        <w:spacing w:line="240" w:lineRule="exact"/>
        <w:jc w:val="both"/>
        <w:rPr>
          <w:rFonts w:cs="Arial"/>
          <w:szCs w:val="20"/>
          <w:lang w:val="sl-SI"/>
        </w:rPr>
      </w:pPr>
    </w:p>
    <w:p w14:paraId="6F7B0A87" w14:textId="77777777" w:rsidR="0040388C" w:rsidRDefault="0040388C" w:rsidP="006709AD">
      <w:pPr>
        <w:spacing w:line="240" w:lineRule="exact"/>
        <w:jc w:val="both"/>
        <w:rPr>
          <w:rFonts w:cs="Arial"/>
          <w:szCs w:val="20"/>
          <w:lang w:val="sl-SI"/>
        </w:rPr>
      </w:pPr>
    </w:p>
    <w:p w14:paraId="6ED29B2C" w14:textId="44D30BDE" w:rsidR="006709AD" w:rsidRPr="00FA1FE1" w:rsidRDefault="003A2392" w:rsidP="006709AD">
      <w:pPr>
        <w:spacing w:line="240" w:lineRule="exact"/>
        <w:jc w:val="both"/>
        <w:rPr>
          <w:rFonts w:cs="Arial"/>
          <w:szCs w:val="20"/>
          <w:lang w:val="sl-SI"/>
        </w:rPr>
      </w:pPr>
      <w:r w:rsidRPr="00FA1FE1">
        <w:rPr>
          <w:rFonts w:cs="Arial"/>
          <w:szCs w:val="20"/>
          <w:lang w:val="sl-SI"/>
        </w:rPr>
        <w:t>Za enak odstotek, kot je določen v KPJS</w:t>
      </w:r>
      <w:r w:rsidR="00BC75D4" w:rsidRPr="00FA1FE1">
        <w:rPr>
          <w:rFonts w:cs="Arial"/>
          <w:szCs w:val="20"/>
          <w:lang w:val="sl-SI"/>
        </w:rPr>
        <w:t xml:space="preserve">, </w:t>
      </w:r>
      <w:r w:rsidRPr="00FA1FE1">
        <w:rPr>
          <w:rFonts w:cs="Arial"/>
          <w:szCs w:val="20"/>
          <w:lang w:val="sl-SI"/>
        </w:rPr>
        <w:t>torej za 4,5%</w:t>
      </w:r>
      <w:r w:rsidR="006F1E66">
        <w:rPr>
          <w:rFonts w:cs="Arial"/>
          <w:szCs w:val="20"/>
          <w:lang w:val="sl-SI"/>
        </w:rPr>
        <w:t>,</w:t>
      </w:r>
      <w:r w:rsidRPr="00FA1FE1">
        <w:rPr>
          <w:rFonts w:cs="Arial"/>
          <w:szCs w:val="20"/>
          <w:lang w:val="sl-SI"/>
        </w:rPr>
        <w:t xml:space="preserve"> </w:t>
      </w:r>
      <w:r w:rsidR="00BC75D4" w:rsidRPr="00FA1FE1">
        <w:rPr>
          <w:rFonts w:cs="Arial"/>
          <w:szCs w:val="20"/>
          <w:lang w:val="sl-SI"/>
        </w:rPr>
        <w:t xml:space="preserve">se </w:t>
      </w:r>
      <w:r w:rsidRPr="00FA1FE1">
        <w:rPr>
          <w:rFonts w:cs="Arial"/>
          <w:szCs w:val="20"/>
          <w:lang w:val="sl-SI"/>
        </w:rPr>
        <w:t>bodo povišale tudi nominalne osnove za delo v tujini, kar bo uveljavljeno s spremembo Uredbe o plačah in drugih prejemkih javnih uslužbencev za delo v tujini in Uredbe o plačah in drugih prejemkih pripadnikov Slovenske vojske pri izvajanju obveznosti, prevzetih v mednarodnih organizacijah oziroma z mednarodnimi pogodbami.</w:t>
      </w:r>
      <w:r w:rsidR="00BC75D4" w:rsidRPr="00FA1FE1">
        <w:rPr>
          <w:rFonts w:cs="Arial"/>
          <w:szCs w:val="20"/>
          <w:lang w:val="sl-SI"/>
        </w:rPr>
        <w:t xml:space="preserve"> Višje nominalne osnove se </w:t>
      </w:r>
      <w:r w:rsidR="00556650" w:rsidRPr="00FA1FE1">
        <w:rPr>
          <w:rFonts w:cs="Arial"/>
          <w:szCs w:val="20"/>
          <w:lang w:val="sl-SI"/>
        </w:rPr>
        <w:t xml:space="preserve">bodo </w:t>
      </w:r>
      <w:r w:rsidR="00BC75D4" w:rsidRPr="00FA1FE1">
        <w:rPr>
          <w:rFonts w:cs="Arial"/>
          <w:szCs w:val="20"/>
          <w:lang w:val="sl-SI"/>
        </w:rPr>
        <w:t xml:space="preserve">prav tako začele uporabljati pri </w:t>
      </w:r>
      <w:r w:rsidR="006709AD" w:rsidRPr="00FA1FE1">
        <w:rPr>
          <w:rFonts w:cs="Arial"/>
          <w:szCs w:val="20"/>
          <w:lang w:val="sl-SI"/>
        </w:rPr>
        <w:t>plači za oktober 2022 (izplačilo v novembru 2022).</w:t>
      </w:r>
    </w:p>
    <w:p w14:paraId="06645726" w14:textId="396BBCA0" w:rsidR="00010E91" w:rsidRDefault="00010E91" w:rsidP="006709AD">
      <w:pPr>
        <w:spacing w:line="240" w:lineRule="exact"/>
        <w:jc w:val="both"/>
        <w:rPr>
          <w:rFonts w:cs="Arial"/>
          <w:szCs w:val="20"/>
          <w:lang w:val="sl-SI"/>
        </w:rPr>
      </w:pPr>
    </w:p>
    <w:p w14:paraId="7530122D" w14:textId="77777777" w:rsidR="0040388C" w:rsidRPr="00FA1FE1" w:rsidRDefault="0040388C" w:rsidP="006709AD">
      <w:pPr>
        <w:spacing w:line="240" w:lineRule="exact"/>
        <w:jc w:val="both"/>
        <w:rPr>
          <w:rFonts w:cs="Arial"/>
          <w:szCs w:val="20"/>
          <w:lang w:val="sl-SI"/>
        </w:rPr>
      </w:pPr>
    </w:p>
    <w:p w14:paraId="0DBA8E8E" w14:textId="3706CC19" w:rsidR="00640EE7" w:rsidRDefault="00640EE7" w:rsidP="006709AD">
      <w:pPr>
        <w:spacing w:line="240" w:lineRule="exact"/>
        <w:jc w:val="both"/>
        <w:rPr>
          <w:rFonts w:cs="Arial"/>
          <w:szCs w:val="20"/>
          <w:lang w:val="sl-SI"/>
        </w:rPr>
      </w:pPr>
    </w:p>
    <w:p w14:paraId="1AD09F45" w14:textId="77777777" w:rsidR="006124DC" w:rsidRPr="00FA1FE1" w:rsidRDefault="006124DC" w:rsidP="006709AD">
      <w:pPr>
        <w:spacing w:line="240" w:lineRule="exact"/>
        <w:jc w:val="both"/>
        <w:rPr>
          <w:rFonts w:cs="Arial"/>
          <w:szCs w:val="20"/>
          <w:lang w:val="sl-SI"/>
        </w:rPr>
      </w:pPr>
    </w:p>
    <w:p w14:paraId="2BA11440" w14:textId="507AD8C8" w:rsidR="001D39E2" w:rsidRPr="00FA1FE1" w:rsidRDefault="001D39E2" w:rsidP="006709AD">
      <w:pPr>
        <w:spacing w:line="240" w:lineRule="exact"/>
        <w:jc w:val="both"/>
        <w:rPr>
          <w:rFonts w:cs="Arial"/>
          <w:b/>
          <w:bCs/>
          <w:szCs w:val="20"/>
          <w:lang w:val="sl-SI"/>
        </w:rPr>
      </w:pPr>
      <w:r w:rsidRPr="00FA1FE1">
        <w:rPr>
          <w:rFonts w:cs="Arial"/>
          <w:b/>
          <w:bCs/>
          <w:szCs w:val="20"/>
          <w:lang w:val="sl-SI"/>
        </w:rPr>
        <w:lastRenderedPageBreak/>
        <w:t>2. Uskladitev dodatkov</w:t>
      </w:r>
      <w:r w:rsidR="006124DC">
        <w:rPr>
          <w:rFonts w:cs="Arial"/>
          <w:b/>
          <w:bCs/>
          <w:szCs w:val="20"/>
          <w:lang w:val="sl-SI"/>
        </w:rPr>
        <w:t>,</w:t>
      </w:r>
      <w:r w:rsidRPr="00FA1FE1">
        <w:rPr>
          <w:rFonts w:cs="Arial"/>
          <w:b/>
          <w:bCs/>
          <w:szCs w:val="20"/>
          <w:lang w:val="sl-SI"/>
        </w:rPr>
        <w:t xml:space="preserve"> določenih v nominalnem znesku</w:t>
      </w:r>
    </w:p>
    <w:p w14:paraId="4AAA6A50" w14:textId="75F34514" w:rsidR="001D39E2" w:rsidRPr="00FA1FE1" w:rsidRDefault="00556650" w:rsidP="001D39E2">
      <w:pPr>
        <w:spacing w:before="100" w:beforeAutospacing="1" w:after="100" w:afterAutospacing="1" w:line="240" w:lineRule="exact"/>
        <w:jc w:val="both"/>
        <w:rPr>
          <w:rFonts w:cs="Arial"/>
          <w:szCs w:val="20"/>
          <w:lang w:val="sl-SI"/>
        </w:rPr>
      </w:pPr>
      <w:r w:rsidRPr="00FA1FE1">
        <w:rPr>
          <w:rFonts w:cs="Arial"/>
          <w:szCs w:val="20"/>
          <w:lang w:val="sl-SI"/>
        </w:rPr>
        <w:t xml:space="preserve">Iz tretjega odstavka 37. člena in petega odstavka 38. člena KPJS izhaja, da se dodatki, ki so določeni v nominalnem znesku usklajujejo enako kot osnovne plače, zato so bili v </w:t>
      </w:r>
      <w:r w:rsidR="001D39E2" w:rsidRPr="00FA1FE1">
        <w:rPr>
          <w:rFonts w:cs="Arial"/>
          <w:szCs w:val="20"/>
          <w:lang w:val="sl-SI"/>
        </w:rPr>
        <w:t>Aneksu št. 13 h KPJS povišani tudi dodat</w:t>
      </w:r>
      <w:r w:rsidRPr="00FA1FE1">
        <w:rPr>
          <w:rFonts w:cs="Arial"/>
          <w:szCs w:val="20"/>
          <w:lang w:val="sl-SI"/>
        </w:rPr>
        <w:t>ek</w:t>
      </w:r>
      <w:r w:rsidR="001D39E2" w:rsidRPr="00FA1FE1">
        <w:rPr>
          <w:rFonts w:cs="Arial"/>
          <w:szCs w:val="20"/>
          <w:lang w:val="sl-SI"/>
        </w:rPr>
        <w:t xml:space="preserve"> za specializacijo, znanstveni magisterij in doktorat ter dodatki za manj ugodne delovne pogoje. </w:t>
      </w:r>
    </w:p>
    <w:p w14:paraId="785EE46C" w14:textId="1FDFE690" w:rsidR="00556650" w:rsidRPr="00FA1FE1" w:rsidRDefault="001D39E2" w:rsidP="001D39E2">
      <w:pPr>
        <w:spacing w:before="100" w:beforeAutospacing="1" w:after="100" w:afterAutospacing="1" w:line="240" w:lineRule="exact"/>
        <w:jc w:val="both"/>
        <w:rPr>
          <w:rFonts w:cs="Arial"/>
          <w:szCs w:val="20"/>
          <w:lang w:val="sl-SI"/>
        </w:rPr>
      </w:pPr>
      <w:r w:rsidRPr="00FA1FE1">
        <w:rPr>
          <w:rFonts w:cs="Arial"/>
          <w:szCs w:val="20"/>
          <w:lang w:val="sl-SI"/>
        </w:rPr>
        <w:t>Ker se je vrednost plačnih razredov plačne lestvice povišala za 4,5%</w:t>
      </w:r>
      <w:r w:rsidR="000357F0">
        <w:rPr>
          <w:rFonts w:cs="Arial"/>
          <w:szCs w:val="20"/>
          <w:lang w:val="sl-SI"/>
        </w:rPr>
        <w:t>,</w:t>
      </w:r>
      <w:r w:rsidRPr="00FA1FE1">
        <w:rPr>
          <w:rFonts w:cs="Arial"/>
          <w:szCs w:val="20"/>
          <w:lang w:val="sl-SI"/>
        </w:rPr>
        <w:t xml:space="preserve"> so se za isti odstotek povišali tudi ti dodatki. Tako so v 4. in 5. členu Aneksa št. 13 h KPJS določene nove (višje) višine teh dodatkov</w:t>
      </w:r>
      <w:r w:rsidR="00556650" w:rsidRPr="00FA1FE1">
        <w:rPr>
          <w:rFonts w:cs="Arial"/>
          <w:szCs w:val="20"/>
          <w:lang w:val="sl-SI"/>
        </w:rPr>
        <w:t>.</w:t>
      </w:r>
    </w:p>
    <w:p w14:paraId="345F6771" w14:textId="6B6DFC8A" w:rsidR="001D39E2" w:rsidRPr="00FA1FE1" w:rsidRDefault="00556650" w:rsidP="001D39E2">
      <w:pPr>
        <w:spacing w:before="100" w:beforeAutospacing="1" w:after="100" w:afterAutospacing="1" w:line="240" w:lineRule="exact"/>
        <w:jc w:val="both"/>
        <w:rPr>
          <w:rFonts w:cs="Arial"/>
          <w:szCs w:val="20"/>
          <w:lang w:val="sl-SI"/>
        </w:rPr>
      </w:pPr>
      <w:r w:rsidRPr="00FA1FE1">
        <w:rPr>
          <w:rFonts w:cs="Arial"/>
          <w:szCs w:val="20"/>
          <w:lang w:val="sl-SI"/>
        </w:rPr>
        <w:t>V</w:t>
      </w:r>
      <w:r w:rsidR="001D39E2" w:rsidRPr="00FA1FE1">
        <w:rPr>
          <w:rFonts w:cs="Arial"/>
          <w:szCs w:val="20"/>
          <w:lang w:val="sl-SI"/>
        </w:rPr>
        <w:t xml:space="preserve">išina dodatka za specializacijo znaša 24,32 € bruto, za znanstveni magisterij </w:t>
      </w:r>
      <w:r w:rsidR="001D39E2" w:rsidRPr="00FA1FE1">
        <w:rPr>
          <w:rFonts w:cs="Arial"/>
          <w:color w:val="000000"/>
          <w:szCs w:val="20"/>
          <w:lang w:val="sl-SI" w:eastAsia="sl-SI"/>
        </w:rPr>
        <w:t xml:space="preserve">37,84 </w:t>
      </w:r>
      <w:r w:rsidR="001D39E2" w:rsidRPr="00FA1FE1">
        <w:rPr>
          <w:rFonts w:cs="Arial"/>
          <w:szCs w:val="20"/>
          <w:lang w:val="sl-SI"/>
        </w:rPr>
        <w:t xml:space="preserve">€ bruto in za doktorat </w:t>
      </w:r>
      <w:r w:rsidR="001D39E2" w:rsidRPr="00FA1FE1">
        <w:rPr>
          <w:rFonts w:cs="Arial"/>
          <w:color w:val="000000"/>
          <w:szCs w:val="20"/>
          <w:lang w:val="sl-SI" w:eastAsia="sl-SI"/>
        </w:rPr>
        <w:t xml:space="preserve">62,15 </w:t>
      </w:r>
      <w:r w:rsidR="001D39E2" w:rsidRPr="00FA1FE1">
        <w:rPr>
          <w:rFonts w:cs="Arial"/>
          <w:szCs w:val="20"/>
          <w:lang w:val="sl-SI"/>
        </w:rPr>
        <w:t>€ bruto.</w:t>
      </w:r>
    </w:p>
    <w:p w14:paraId="4B102A99" w14:textId="77777777" w:rsidR="001D39E2" w:rsidRPr="00FA1FE1" w:rsidRDefault="001D39E2" w:rsidP="001D39E2">
      <w:pPr>
        <w:spacing w:before="100" w:beforeAutospacing="1" w:after="100" w:afterAutospacing="1" w:line="240" w:lineRule="auto"/>
        <w:rPr>
          <w:rFonts w:cs="Arial"/>
          <w:szCs w:val="20"/>
          <w:lang w:val="sl-SI" w:eastAsia="sl-SI"/>
        </w:rPr>
      </w:pPr>
      <w:r w:rsidRPr="00FA1FE1">
        <w:rPr>
          <w:rFonts w:cs="Arial"/>
          <w:szCs w:val="20"/>
          <w:lang w:val="sl-SI"/>
        </w:rPr>
        <w:t xml:space="preserve">Za 4,5% so se povišali tudi </w:t>
      </w:r>
      <w:r w:rsidRPr="00FA1FE1">
        <w:rPr>
          <w:rFonts w:cs="Arial"/>
          <w:szCs w:val="20"/>
          <w:lang w:val="sl-SI" w:eastAsia="sl-SI"/>
        </w:rPr>
        <w:t>dodatki za manj ugodne delovne pogoje.</w:t>
      </w:r>
    </w:p>
    <w:p w14:paraId="463F1389" w14:textId="1C06ECC7" w:rsidR="001D39E2" w:rsidRPr="00FA1FE1" w:rsidRDefault="001D39E2" w:rsidP="001D39E2">
      <w:pPr>
        <w:spacing w:before="100" w:beforeAutospacing="1" w:after="100" w:afterAutospacing="1" w:line="240" w:lineRule="auto"/>
        <w:rPr>
          <w:rFonts w:cs="Arial"/>
          <w:szCs w:val="20"/>
          <w:lang w:val="sl-SI" w:eastAsia="sl-SI"/>
        </w:rPr>
      </w:pPr>
      <w:r w:rsidRPr="00FA1FE1">
        <w:rPr>
          <w:rFonts w:cs="Arial"/>
          <w:szCs w:val="20"/>
          <w:lang w:val="sl-SI" w:eastAsia="sl-SI"/>
        </w:rPr>
        <w:t>Dodatk</w:t>
      </w:r>
      <w:r w:rsidR="00556650" w:rsidRPr="00FA1FE1">
        <w:rPr>
          <w:rFonts w:cs="Arial"/>
          <w:szCs w:val="20"/>
          <w:lang w:val="sl-SI" w:eastAsia="sl-SI"/>
        </w:rPr>
        <w:t>a</w:t>
      </w:r>
      <w:r w:rsidRPr="00FA1FE1">
        <w:rPr>
          <w:rFonts w:cs="Arial"/>
          <w:szCs w:val="20"/>
          <w:lang w:val="sl-SI" w:eastAsia="sl-SI"/>
        </w:rPr>
        <w:t xml:space="preserve"> za manj ugodne delovne pogoje </w:t>
      </w:r>
      <w:r w:rsidR="00556650" w:rsidRPr="00FA1FE1">
        <w:rPr>
          <w:rFonts w:cs="Arial"/>
          <w:szCs w:val="20"/>
          <w:lang w:val="sl-SI" w:eastAsia="sl-SI"/>
        </w:rPr>
        <w:t>sta v Aneksu št. 13 h KJS določena v naslednji višini</w:t>
      </w:r>
      <w:r w:rsidRPr="00FA1FE1">
        <w:rPr>
          <w:rFonts w:cs="Arial"/>
          <w:szCs w:val="20"/>
          <w:lang w:val="sl-SI" w:eastAsia="sl-SI"/>
        </w:rPr>
        <w:t>:</w:t>
      </w:r>
    </w:p>
    <w:p w14:paraId="7CDD5472"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1.     Dodatek za izpostavljenost pri delu v kontroliranem območju ionizirajočega sevanja pripada javnemu uslužbencu, ki občasno opravlja delo v kontroliranem območju ionizirajočega sevanja. Višina dodatka znaša </w:t>
      </w:r>
      <w:r w:rsidRPr="00FA1FE1">
        <w:rPr>
          <w:rFonts w:cs="Arial"/>
          <w:szCs w:val="20"/>
          <w:lang w:val="sl-SI"/>
        </w:rPr>
        <w:t xml:space="preserve">1,09 </w:t>
      </w:r>
      <w:r w:rsidRPr="00FA1FE1">
        <w:rPr>
          <w:rFonts w:cs="Arial"/>
          <w:szCs w:val="20"/>
          <w:lang w:val="sl-SI" w:eastAsia="sl-SI"/>
        </w:rPr>
        <w:t>euro za vsako začeto uro dela v kontroliranem območja ionizirajočega sevanja.</w:t>
      </w:r>
    </w:p>
    <w:p w14:paraId="51FD85E9"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2.     Dodatek za izpostavljenost pri delu s citostatiki pripada javnemu uslužbencu, ki občasno opravlja delo s citostatiki in kontaminiranimi odpadki. Višina dodatka znaša:</w:t>
      </w:r>
    </w:p>
    <w:p w14:paraId="06071616"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   za pripravo ali aplikacijo citostatikov ali za nego </w:t>
      </w:r>
      <w:r w:rsidRPr="00FA1FE1">
        <w:rPr>
          <w:rFonts w:cs="Arial"/>
          <w:szCs w:val="20"/>
          <w:lang w:val="sl-SI"/>
        </w:rPr>
        <w:t xml:space="preserve">1,09 </w:t>
      </w:r>
      <w:r w:rsidRPr="00FA1FE1">
        <w:rPr>
          <w:rFonts w:cs="Arial"/>
          <w:szCs w:val="20"/>
          <w:lang w:val="sl-SI" w:eastAsia="sl-SI"/>
        </w:rPr>
        <w:t>eura za vsako začeto uro dela v teh pogojih,</w:t>
      </w:r>
    </w:p>
    <w:p w14:paraId="58E706AF"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   za delo z bolniki, ki imajo aplicirane diagnostične doze izotopov </w:t>
      </w:r>
      <w:r w:rsidRPr="00FA1FE1">
        <w:rPr>
          <w:rFonts w:cs="Arial"/>
          <w:szCs w:val="20"/>
          <w:lang w:val="sl-SI"/>
        </w:rPr>
        <w:t xml:space="preserve">1,09 </w:t>
      </w:r>
      <w:r w:rsidRPr="00FA1FE1">
        <w:rPr>
          <w:rFonts w:cs="Arial"/>
          <w:szCs w:val="20"/>
          <w:lang w:val="sl-SI" w:eastAsia="sl-SI"/>
        </w:rPr>
        <w:t>eura za vsako začeto uro dela v teh pogojih,</w:t>
      </w:r>
    </w:p>
    <w:p w14:paraId="31F8465C"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   za sodelovanje pri diagnostičnih </w:t>
      </w:r>
      <w:proofErr w:type="spellStart"/>
      <w:r w:rsidRPr="00FA1FE1">
        <w:rPr>
          <w:rFonts w:cs="Arial"/>
          <w:szCs w:val="20"/>
          <w:lang w:val="sl-SI" w:eastAsia="sl-SI"/>
        </w:rPr>
        <w:t>rtg</w:t>
      </w:r>
      <w:proofErr w:type="spellEnd"/>
      <w:r w:rsidRPr="00FA1FE1">
        <w:rPr>
          <w:rFonts w:cs="Arial"/>
          <w:szCs w:val="20"/>
          <w:lang w:val="sl-SI" w:eastAsia="sl-SI"/>
        </w:rPr>
        <w:t xml:space="preserve"> postopkih </w:t>
      </w:r>
      <w:r w:rsidRPr="00FA1FE1">
        <w:rPr>
          <w:rFonts w:cs="Arial"/>
          <w:szCs w:val="20"/>
          <w:lang w:val="sl-SI"/>
        </w:rPr>
        <w:t xml:space="preserve">1,09 </w:t>
      </w:r>
      <w:r w:rsidRPr="00FA1FE1">
        <w:rPr>
          <w:rFonts w:cs="Arial"/>
          <w:szCs w:val="20"/>
          <w:lang w:val="sl-SI" w:eastAsia="sl-SI"/>
        </w:rPr>
        <w:t>eura za vsako začeto uro dela v teh pogojih,</w:t>
      </w:r>
    </w:p>
    <w:p w14:paraId="1CB008A6" w14:textId="77777777" w:rsidR="001D39E2" w:rsidRPr="00FA1FE1" w:rsidRDefault="001D39E2" w:rsidP="00284E02">
      <w:pPr>
        <w:spacing w:before="100" w:beforeAutospacing="1" w:after="100" w:afterAutospacing="1" w:line="240" w:lineRule="auto"/>
        <w:jc w:val="both"/>
        <w:rPr>
          <w:rFonts w:cs="Arial"/>
          <w:szCs w:val="20"/>
          <w:lang w:val="sl-SI" w:eastAsia="sl-SI"/>
        </w:rPr>
      </w:pPr>
      <w:r w:rsidRPr="00FA1FE1">
        <w:rPr>
          <w:rFonts w:cs="Arial"/>
          <w:szCs w:val="20"/>
          <w:lang w:val="sl-SI" w:eastAsia="sl-SI"/>
        </w:rPr>
        <w:t xml:space="preserve">-   za delo s kontaminiranimi odpadki </w:t>
      </w:r>
      <w:r w:rsidRPr="00FA1FE1">
        <w:rPr>
          <w:rFonts w:cs="Arial"/>
          <w:szCs w:val="20"/>
          <w:lang w:val="sl-SI"/>
        </w:rPr>
        <w:t xml:space="preserve">0,53 </w:t>
      </w:r>
      <w:r w:rsidRPr="00FA1FE1">
        <w:rPr>
          <w:rFonts w:cs="Arial"/>
          <w:szCs w:val="20"/>
          <w:lang w:val="sl-SI" w:eastAsia="sl-SI"/>
        </w:rPr>
        <w:t>eura za vsako začeto uro dela v teh pogojih.</w:t>
      </w:r>
    </w:p>
    <w:p w14:paraId="284877E3" w14:textId="6522E4B1" w:rsidR="001D39E2" w:rsidRPr="00FA1FE1" w:rsidRDefault="001D39E2" w:rsidP="001D39E2">
      <w:pPr>
        <w:spacing w:before="100" w:beforeAutospacing="1" w:after="100" w:afterAutospacing="1" w:line="240" w:lineRule="exact"/>
        <w:jc w:val="both"/>
        <w:rPr>
          <w:rFonts w:cs="Arial"/>
          <w:szCs w:val="20"/>
          <w:lang w:val="sl-SI"/>
        </w:rPr>
      </w:pPr>
      <w:r w:rsidRPr="00FA1FE1">
        <w:rPr>
          <w:rFonts w:cs="Arial"/>
          <w:szCs w:val="20"/>
          <w:lang w:val="sl-SI"/>
        </w:rPr>
        <w:t xml:space="preserve">Tudi to povišanje dodatkov velja že pri oktobrski plači </w:t>
      </w:r>
      <w:r w:rsidR="0077456A">
        <w:rPr>
          <w:rFonts w:cs="Arial"/>
          <w:szCs w:val="20"/>
          <w:lang w:val="sl-SI"/>
        </w:rPr>
        <w:t xml:space="preserve">2022 </w:t>
      </w:r>
      <w:r w:rsidRPr="00FA1FE1">
        <w:rPr>
          <w:rFonts w:cs="Arial"/>
          <w:szCs w:val="20"/>
          <w:lang w:val="sl-SI"/>
        </w:rPr>
        <w:t>(izplačilo v mesecu novembru 2022).</w:t>
      </w:r>
    </w:p>
    <w:p w14:paraId="7F2C000D" w14:textId="611D620D" w:rsidR="001D39E2" w:rsidRPr="00FA1FE1" w:rsidRDefault="001D39E2" w:rsidP="001D39E2">
      <w:pPr>
        <w:spacing w:before="100" w:beforeAutospacing="1" w:after="100" w:afterAutospacing="1" w:line="240" w:lineRule="exact"/>
        <w:jc w:val="both"/>
        <w:rPr>
          <w:rFonts w:cs="Arial"/>
          <w:szCs w:val="20"/>
          <w:lang w:val="sl-SI"/>
        </w:rPr>
      </w:pPr>
      <w:r w:rsidRPr="00FA1FE1">
        <w:rPr>
          <w:rFonts w:cs="Arial"/>
          <w:szCs w:val="20"/>
          <w:lang w:val="sl-SI"/>
        </w:rPr>
        <w:t>Enako bodo za 4,5% višji tudi dodatki, ki so določeni v nominalnem znesku</w:t>
      </w:r>
      <w:r w:rsidR="00284E02" w:rsidRPr="00FA1FE1">
        <w:rPr>
          <w:rFonts w:cs="Arial"/>
          <w:szCs w:val="20"/>
          <w:lang w:val="sl-SI"/>
        </w:rPr>
        <w:t>,</w:t>
      </w:r>
      <w:r w:rsidRPr="00FA1FE1">
        <w:rPr>
          <w:rFonts w:cs="Arial"/>
          <w:szCs w:val="20"/>
          <w:lang w:val="sl-SI"/>
        </w:rPr>
        <w:t xml:space="preserve"> za javne uslužbence, ki so napoteni na delo v tujino, kar se bo uredilo s spremembo Uredbe o plačah in drugih prejemkih javnih uslužbencev za delo v tujini in Uredbe o plačah in drugih prejemkih pripadnikov Slovenske vojske pri izvajanju obveznosti, prevzetih v mednarodnih organizacijah oziroma z mednarodnimi pogodbami. </w:t>
      </w:r>
    </w:p>
    <w:p w14:paraId="32658BF7" w14:textId="7B1F8CD3" w:rsidR="00010E91" w:rsidRPr="00FA1FE1" w:rsidRDefault="00010E91" w:rsidP="00010E91">
      <w:pPr>
        <w:spacing w:line="240" w:lineRule="exact"/>
        <w:jc w:val="both"/>
        <w:rPr>
          <w:rFonts w:cs="Arial"/>
          <w:b/>
          <w:bCs/>
          <w:szCs w:val="20"/>
          <w:lang w:val="sl-SI"/>
        </w:rPr>
      </w:pPr>
      <w:r w:rsidRPr="00FA1FE1">
        <w:rPr>
          <w:rFonts w:cs="Arial"/>
          <w:b/>
          <w:bCs/>
          <w:szCs w:val="20"/>
          <w:lang w:val="sl-SI"/>
        </w:rPr>
        <w:t>3. Izplačilo višji</w:t>
      </w:r>
      <w:r w:rsidR="00DA10D9">
        <w:rPr>
          <w:rFonts w:cs="Arial"/>
          <w:b/>
          <w:bCs/>
          <w:szCs w:val="20"/>
          <w:lang w:val="sl-SI"/>
        </w:rPr>
        <w:t>h</w:t>
      </w:r>
      <w:r w:rsidRPr="00FA1FE1">
        <w:rPr>
          <w:rFonts w:cs="Arial"/>
          <w:b/>
          <w:bCs/>
          <w:szCs w:val="20"/>
          <w:lang w:val="sl-SI"/>
        </w:rPr>
        <w:t xml:space="preserve"> dodatkov, ki se obračunavajo od osnovne plače in delovne uspešnosti</w:t>
      </w:r>
    </w:p>
    <w:p w14:paraId="27BD02DB" w14:textId="797B0B9F" w:rsidR="00010E91" w:rsidRPr="00FA1FE1" w:rsidRDefault="00010E91" w:rsidP="00010E91">
      <w:pPr>
        <w:spacing w:before="100" w:beforeAutospacing="1" w:after="100" w:afterAutospacing="1" w:line="240" w:lineRule="exact"/>
        <w:jc w:val="both"/>
        <w:rPr>
          <w:rFonts w:cs="Arial"/>
          <w:szCs w:val="20"/>
          <w:lang w:val="sl-SI"/>
        </w:rPr>
      </w:pPr>
      <w:r w:rsidRPr="00FA1FE1">
        <w:rPr>
          <w:rFonts w:cs="Arial"/>
          <w:szCs w:val="20"/>
          <w:lang w:val="sl-SI"/>
        </w:rPr>
        <w:t xml:space="preserve">Zaradi uskladitve vrednosti plačnih razredov plačne lestvice bodo višja tudi vsa izplačila dodatkov, ki se obračunavajo od osnovne plače (npr. dodatek za delovno dobo). Glede na to, da se že pri plači za oktober 2022 izplača višja osnovna plača za 4,5 %, se bodo dodatki obračunali od višjih osnovnih plač, kar posledično pomeni, da bodo izplačila teh dodatkov višja. </w:t>
      </w:r>
    </w:p>
    <w:p w14:paraId="4C823E39" w14:textId="6F655191" w:rsidR="00010E91" w:rsidRPr="00FA1FE1" w:rsidRDefault="00010E91" w:rsidP="00010E91">
      <w:pPr>
        <w:spacing w:before="100" w:beforeAutospacing="1" w:after="100" w:afterAutospacing="1" w:line="240" w:lineRule="exact"/>
        <w:jc w:val="both"/>
        <w:rPr>
          <w:rFonts w:cs="Arial"/>
          <w:szCs w:val="20"/>
          <w:lang w:val="sl-SI"/>
        </w:rPr>
      </w:pPr>
      <w:r w:rsidRPr="00FA1FE1">
        <w:rPr>
          <w:rFonts w:cs="Arial"/>
          <w:szCs w:val="20"/>
          <w:lang w:val="sl-SI"/>
        </w:rPr>
        <w:t xml:space="preserve">Višje osnovne plače bodo vplivale tudi na višja izplačila delovne uspešnosti iz naslova povečanega obsega dela in redne delovne uspešnosti ter na določitev višjega obsega sredstev za izplačilo redne delovne uspešnosti. </w:t>
      </w:r>
    </w:p>
    <w:p w14:paraId="3B99EAD9" w14:textId="03910C92" w:rsidR="00010E91" w:rsidRPr="00FA1FE1" w:rsidRDefault="00010E91" w:rsidP="00010E91">
      <w:pPr>
        <w:spacing w:before="100" w:beforeAutospacing="1" w:after="100" w:afterAutospacing="1" w:line="240" w:lineRule="exact"/>
        <w:jc w:val="both"/>
        <w:rPr>
          <w:rFonts w:cs="Arial"/>
          <w:szCs w:val="20"/>
          <w:lang w:val="sl-SI"/>
        </w:rPr>
      </w:pPr>
      <w:r w:rsidRPr="00FA1FE1">
        <w:rPr>
          <w:rFonts w:cs="Arial"/>
          <w:szCs w:val="20"/>
          <w:lang w:val="sl-SI"/>
        </w:rPr>
        <w:lastRenderedPageBreak/>
        <w:t xml:space="preserve">Delovna uspešnost iz naslova povečanega obsega dela se obračunava od osnovne plače. Od plač za oktober 2022 dalje se pri obračunu delovne uspešnosti upošteva osnovna plača, ki je višja za 4,5%. Če bo javni uslužbenec za mesec oktober </w:t>
      </w:r>
      <w:r w:rsidR="0056051A" w:rsidRPr="00FA1FE1">
        <w:rPr>
          <w:rFonts w:cs="Arial"/>
          <w:szCs w:val="20"/>
          <w:lang w:val="sl-SI"/>
        </w:rPr>
        <w:t xml:space="preserve">2022 </w:t>
      </w:r>
      <w:r w:rsidRPr="00FA1FE1">
        <w:rPr>
          <w:rFonts w:cs="Arial"/>
          <w:szCs w:val="20"/>
          <w:lang w:val="sl-SI"/>
        </w:rPr>
        <w:t>p</w:t>
      </w:r>
      <w:r w:rsidR="0056051A" w:rsidRPr="00FA1FE1">
        <w:rPr>
          <w:rFonts w:cs="Arial"/>
          <w:szCs w:val="20"/>
          <w:lang w:val="sl-SI"/>
        </w:rPr>
        <w:t>rejel izplačilo delovne uspešnosti iz naslova povečanega obsega dela</w:t>
      </w:r>
      <w:r w:rsidRPr="00FA1FE1">
        <w:rPr>
          <w:rFonts w:cs="Arial"/>
          <w:szCs w:val="20"/>
          <w:lang w:val="sl-SI"/>
        </w:rPr>
        <w:t>, bo za isti odstotek prejel višje izplačilo delovne uspešnosti, kot ga je prejel npr. v mesec</w:t>
      </w:r>
      <w:r w:rsidR="00284E02" w:rsidRPr="00FA1FE1">
        <w:rPr>
          <w:rFonts w:cs="Arial"/>
          <w:szCs w:val="20"/>
          <w:lang w:val="sl-SI"/>
        </w:rPr>
        <w:t>u</w:t>
      </w:r>
      <w:r w:rsidRPr="00FA1FE1">
        <w:rPr>
          <w:rFonts w:cs="Arial"/>
          <w:szCs w:val="20"/>
          <w:lang w:val="sl-SI"/>
        </w:rPr>
        <w:t xml:space="preserve"> septembru</w:t>
      </w:r>
      <w:r w:rsidR="0056051A" w:rsidRPr="00FA1FE1">
        <w:rPr>
          <w:rFonts w:cs="Arial"/>
          <w:szCs w:val="20"/>
          <w:lang w:val="sl-SI"/>
        </w:rPr>
        <w:t xml:space="preserve"> 2022</w:t>
      </w:r>
      <w:r w:rsidRPr="00FA1FE1">
        <w:rPr>
          <w:rFonts w:cs="Arial"/>
          <w:szCs w:val="20"/>
          <w:lang w:val="sl-SI"/>
        </w:rPr>
        <w:t xml:space="preserve">, saj bo osnovna plača za oktober </w:t>
      </w:r>
      <w:r w:rsidR="00284E02" w:rsidRPr="00FA1FE1">
        <w:rPr>
          <w:rFonts w:cs="Arial"/>
          <w:szCs w:val="20"/>
          <w:lang w:val="sl-SI"/>
        </w:rPr>
        <w:t xml:space="preserve">2022 </w:t>
      </w:r>
      <w:r w:rsidRPr="00FA1FE1">
        <w:rPr>
          <w:rFonts w:cs="Arial"/>
          <w:szCs w:val="20"/>
          <w:lang w:val="sl-SI"/>
        </w:rPr>
        <w:t xml:space="preserve">višja za 4,5%. </w:t>
      </w:r>
    </w:p>
    <w:p w14:paraId="2BD9F43E" w14:textId="2B3CA1EA" w:rsidR="00010E91" w:rsidRPr="00FA1FE1" w:rsidRDefault="0056051A" w:rsidP="00010E91">
      <w:pPr>
        <w:spacing w:before="100" w:beforeAutospacing="1" w:after="100" w:afterAutospacing="1" w:line="240" w:lineRule="exact"/>
        <w:jc w:val="both"/>
        <w:rPr>
          <w:rFonts w:cs="Arial"/>
          <w:szCs w:val="20"/>
          <w:lang w:val="sl-SI"/>
        </w:rPr>
      </w:pPr>
      <w:r w:rsidRPr="00FA1FE1">
        <w:rPr>
          <w:rFonts w:cs="Arial"/>
          <w:szCs w:val="20"/>
          <w:lang w:val="sl-SI"/>
        </w:rPr>
        <w:t xml:space="preserve">Pri redni delovni uspešnosti se obseg sredstev za redno delovno uspešnost določa v odstotku od osnovnih plač. </w:t>
      </w:r>
      <w:r w:rsidR="00FC3D48" w:rsidRPr="00FA1FE1">
        <w:rPr>
          <w:rFonts w:cs="Arial"/>
          <w:szCs w:val="20"/>
          <w:lang w:val="sl-SI"/>
        </w:rPr>
        <w:t xml:space="preserve">Ker bodo osnovne plače od oktobra 2022 dalje višje za 4,5%, bo tudi </w:t>
      </w:r>
      <w:r w:rsidR="00010E91" w:rsidRPr="00FA1FE1">
        <w:rPr>
          <w:rFonts w:cs="Arial"/>
          <w:szCs w:val="20"/>
          <w:lang w:val="sl-SI"/>
        </w:rPr>
        <w:t xml:space="preserve">obseg sredstev za izplačilo redne delovne uspešnosti </w:t>
      </w:r>
      <w:r w:rsidRPr="00FA1FE1">
        <w:rPr>
          <w:rFonts w:cs="Arial"/>
          <w:szCs w:val="20"/>
          <w:lang w:val="sl-SI"/>
        </w:rPr>
        <w:t>od 1. oktobra 2022 višji</w:t>
      </w:r>
      <w:r w:rsidR="00FC3D48" w:rsidRPr="00FA1FE1">
        <w:rPr>
          <w:rFonts w:cs="Arial"/>
          <w:szCs w:val="20"/>
          <w:lang w:val="sl-SI"/>
        </w:rPr>
        <w:t>.</w:t>
      </w:r>
    </w:p>
    <w:p w14:paraId="0D9CE61A" w14:textId="2F9CAA2F" w:rsidR="00A73AC9" w:rsidRPr="00FA1FE1" w:rsidRDefault="00010E91" w:rsidP="0056051A">
      <w:pPr>
        <w:spacing w:before="100" w:beforeAutospacing="1" w:after="100" w:afterAutospacing="1" w:line="240" w:lineRule="exact"/>
        <w:jc w:val="both"/>
        <w:rPr>
          <w:rFonts w:cs="Arial"/>
          <w:szCs w:val="20"/>
          <w:lang w:val="sl-SI"/>
        </w:rPr>
      </w:pPr>
      <w:r w:rsidRPr="00FA1FE1">
        <w:rPr>
          <w:rFonts w:cs="Arial"/>
          <w:szCs w:val="20"/>
          <w:lang w:val="sl-SI"/>
        </w:rPr>
        <w:t>Redna delovna uspešnost se obračunava od osnovne plače za čas od rednega dela (A010 po Uredbi o enotni metodologiji in obrazcih za obračun in izplačilo plač v javnem sektorju)</w:t>
      </w:r>
      <w:r w:rsidR="0056051A" w:rsidRPr="00FA1FE1">
        <w:rPr>
          <w:rFonts w:cs="Arial"/>
          <w:szCs w:val="20"/>
          <w:lang w:val="sl-SI"/>
        </w:rPr>
        <w:t xml:space="preserve">. </w:t>
      </w:r>
      <w:r w:rsidR="00FC3D48" w:rsidRPr="00FA1FE1">
        <w:rPr>
          <w:rFonts w:cs="Arial"/>
          <w:szCs w:val="20"/>
          <w:lang w:val="sl-SI"/>
        </w:rPr>
        <w:t>Zaradi višje osnovne plače bo v</w:t>
      </w:r>
      <w:r w:rsidRPr="00FA1FE1">
        <w:rPr>
          <w:rFonts w:cs="Arial"/>
          <w:szCs w:val="20"/>
          <w:lang w:val="sl-SI"/>
        </w:rPr>
        <w:t xml:space="preserve">rednost </w:t>
      </w:r>
      <w:r w:rsidR="0056051A" w:rsidRPr="00FA1FE1">
        <w:rPr>
          <w:rFonts w:cs="Arial"/>
          <w:szCs w:val="20"/>
          <w:lang w:val="sl-SI"/>
        </w:rPr>
        <w:t>osnovne plače za iste ure rednega dela od meseca oktobra 2022 dalje višja</w:t>
      </w:r>
      <w:r w:rsidR="00FC3D48" w:rsidRPr="00FA1FE1">
        <w:rPr>
          <w:rFonts w:cs="Arial"/>
          <w:szCs w:val="20"/>
          <w:lang w:val="sl-SI"/>
        </w:rPr>
        <w:t>.</w:t>
      </w:r>
    </w:p>
    <w:p w14:paraId="2E2DAD11" w14:textId="77777777" w:rsidR="00EB46F1" w:rsidRPr="00FA1FE1" w:rsidRDefault="0056051A" w:rsidP="00EB46F1">
      <w:pPr>
        <w:spacing w:line="240" w:lineRule="exact"/>
        <w:jc w:val="both"/>
        <w:rPr>
          <w:rFonts w:cs="Arial"/>
          <w:b/>
          <w:bCs/>
          <w:szCs w:val="20"/>
          <w:lang w:val="sl-SI"/>
        </w:rPr>
      </w:pPr>
      <w:r w:rsidRPr="00FA1FE1">
        <w:rPr>
          <w:rFonts w:cs="Arial"/>
          <w:b/>
          <w:bCs/>
          <w:szCs w:val="20"/>
          <w:lang w:val="sl-SI"/>
        </w:rPr>
        <w:t xml:space="preserve">4. Izplačilo višjega regresa za letni dopust za leto 2022 </w:t>
      </w:r>
    </w:p>
    <w:p w14:paraId="468D4C0E" w14:textId="77777777" w:rsidR="00EB46F1" w:rsidRPr="00FA1FE1" w:rsidRDefault="00EB46F1" w:rsidP="00EB46F1">
      <w:pPr>
        <w:spacing w:line="240" w:lineRule="exact"/>
        <w:jc w:val="both"/>
        <w:rPr>
          <w:rFonts w:cs="Arial"/>
          <w:b/>
          <w:bCs/>
          <w:szCs w:val="20"/>
          <w:lang w:val="sl-SI"/>
        </w:rPr>
      </w:pPr>
    </w:p>
    <w:p w14:paraId="7D4598AA" w14:textId="59FA6025" w:rsidR="0056051A" w:rsidRPr="00FA1FE1" w:rsidRDefault="00EB46F1" w:rsidP="00EB46F1">
      <w:pPr>
        <w:spacing w:line="240" w:lineRule="exact"/>
        <w:jc w:val="both"/>
        <w:rPr>
          <w:rFonts w:cs="Arial"/>
          <w:szCs w:val="20"/>
          <w:lang w:val="sl-SI"/>
        </w:rPr>
      </w:pPr>
      <w:r w:rsidRPr="00FA1FE1">
        <w:rPr>
          <w:rFonts w:cs="Arial"/>
          <w:szCs w:val="20"/>
          <w:lang w:val="sl-SI"/>
        </w:rPr>
        <w:t xml:space="preserve">V </w:t>
      </w:r>
      <w:r w:rsidR="00FC3D48" w:rsidRPr="00FA1FE1">
        <w:rPr>
          <w:rFonts w:cs="Arial"/>
          <w:szCs w:val="20"/>
          <w:lang w:val="sl-SI"/>
        </w:rPr>
        <w:t xml:space="preserve">2. in 3. členu </w:t>
      </w:r>
      <w:r w:rsidR="00372E08">
        <w:rPr>
          <w:rFonts w:cs="Arial"/>
          <w:szCs w:val="20"/>
          <w:lang w:val="sl-SI"/>
        </w:rPr>
        <w:t>A</w:t>
      </w:r>
      <w:r w:rsidRPr="00FA1FE1">
        <w:rPr>
          <w:rFonts w:cs="Arial"/>
          <w:szCs w:val="20"/>
          <w:lang w:val="sl-SI"/>
        </w:rPr>
        <w:t>neks</w:t>
      </w:r>
      <w:r w:rsidR="00FC3D48" w:rsidRPr="00FA1FE1">
        <w:rPr>
          <w:rFonts w:cs="Arial"/>
          <w:szCs w:val="20"/>
          <w:lang w:val="sl-SI"/>
        </w:rPr>
        <w:t>a</w:t>
      </w:r>
      <w:r w:rsidRPr="00FA1FE1">
        <w:rPr>
          <w:rFonts w:cs="Arial"/>
          <w:szCs w:val="20"/>
          <w:lang w:val="sl-SI"/>
        </w:rPr>
        <w:t xml:space="preserve"> h KPND je bilo skladno z zavezo iz </w:t>
      </w:r>
      <w:r w:rsidR="00FC3D48" w:rsidRPr="00FA1FE1">
        <w:rPr>
          <w:rFonts w:cs="Arial"/>
          <w:szCs w:val="20"/>
          <w:lang w:val="sl-SI"/>
        </w:rPr>
        <w:t xml:space="preserve">Dogovora </w:t>
      </w:r>
      <w:r w:rsidRPr="00FA1FE1">
        <w:rPr>
          <w:rFonts w:cs="Arial"/>
          <w:szCs w:val="20"/>
          <w:lang w:val="sl-SI"/>
        </w:rPr>
        <w:t>določeno, da znaša</w:t>
      </w:r>
      <w:bookmarkStart w:id="2" w:name="_Hlk114643145"/>
      <w:r w:rsidRPr="00FA1FE1">
        <w:rPr>
          <w:rFonts w:cs="Arial"/>
          <w:szCs w:val="20"/>
          <w:lang w:val="sl-SI"/>
        </w:rPr>
        <w:t xml:space="preserve"> r</w:t>
      </w:r>
      <w:r w:rsidR="0056051A" w:rsidRPr="00FA1FE1">
        <w:rPr>
          <w:rFonts w:cs="Arial"/>
          <w:szCs w:val="20"/>
          <w:lang w:val="sl-SI"/>
        </w:rPr>
        <w:t xml:space="preserve">egres za letni dopust za leto 2022 za javne uslužbence, ki so </w:t>
      </w:r>
      <w:r w:rsidR="0056051A" w:rsidRPr="00FA1FE1">
        <w:rPr>
          <w:rFonts w:cs="Arial"/>
          <w:b/>
          <w:bCs/>
          <w:szCs w:val="20"/>
          <w:u w:val="single"/>
          <w:lang w:val="sl-SI"/>
        </w:rPr>
        <w:t>na dan 31. maja 2022</w:t>
      </w:r>
      <w:r w:rsidR="0056051A" w:rsidRPr="00FA1FE1">
        <w:rPr>
          <w:rFonts w:cs="Arial"/>
          <w:szCs w:val="20"/>
          <w:lang w:val="sl-SI"/>
        </w:rPr>
        <w:t xml:space="preserve"> prejemali osnovno plačo:</w:t>
      </w:r>
    </w:p>
    <w:p w14:paraId="13847F10" w14:textId="77777777" w:rsidR="00EB46F1" w:rsidRPr="00FA1FE1" w:rsidRDefault="00EB46F1" w:rsidP="00EB46F1">
      <w:pPr>
        <w:spacing w:line="240" w:lineRule="exact"/>
        <w:jc w:val="both"/>
        <w:rPr>
          <w:rFonts w:cs="Arial"/>
          <w:szCs w:val="20"/>
          <w:lang w:val="sl-SI"/>
        </w:rPr>
      </w:pPr>
    </w:p>
    <w:p w14:paraId="71FEA764" w14:textId="33DC203F"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do vključno 24. </w:t>
      </w:r>
      <w:r w:rsidR="00C67D7D">
        <w:rPr>
          <w:rFonts w:cs="Arial"/>
          <w:szCs w:val="20"/>
          <w:lang w:val="sl-SI"/>
        </w:rPr>
        <w:t>plačnega razreda</w:t>
      </w:r>
      <w:r w:rsidRPr="00FA1FE1">
        <w:rPr>
          <w:rFonts w:cs="Arial"/>
          <w:szCs w:val="20"/>
          <w:lang w:val="sl-SI"/>
        </w:rPr>
        <w:t xml:space="preserve"> 1.374,43 € neto (poraču</w:t>
      </w:r>
      <w:r w:rsidR="00EB46F1" w:rsidRPr="00FA1FE1">
        <w:rPr>
          <w:rFonts w:cs="Arial"/>
          <w:szCs w:val="20"/>
          <w:lang w:val="sl-SI"/>
        </w:rPr>
        <w:t>n v višini</w:t>
      </w:r>
      <w:r w:rsidRPr="00FA1FE1">
        <w:rPr>
          <w:rFonts w:cs="Arial"/>
          <w:szCs w:val="20"/>
          <w:lang w:val="sl-SI"/>
        </w:rPr>
        <w:t xml:space="preserve"> 300 €), </w:t>
      </w:r>
    </w:p>
    <w:p w14:paraId="5168AE6C" w14:textId="2D9D38E2"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od 25. do vključno 30. </w:t>
      </w:r>
      <w:r w:rsidR="00C67D7D">
        <w:rPr>
          <w:rFonts w:cs="Arial"/>
          <w:szCs w:val="20"/>
          <w:lang w:val="sl-SI"/>
        </w:rPr>
        <w:t>plačnega razreda</w:t>
      </w:r>
      <w:r w:rsidRPr="00FA1FE1">
        <w:rPr>
          <w:rFonts w:cs="Arial"/>
          <w:szCs w:val="20"/>
          <w:lang w:val="sl-SI"/>
        </w:rPr>
        <w:t xml:space="preserve"> 1.324,43 € neto (poračun </w:t>
      </w:r>
      <w:r w:rsidR="00EB46F1" w:rsidRPr="00FA1FE1">
        <w:rPr>
          <w:rFonts w:cs="Arial"/>
          <w:szCs w:val="20"/>
          <w:lang w:val="sl-SI"/>
        </w:rPr>
        <w:t xml:space="preserve">v višini </w:t>
      </w:r>
      <w:r w:rsidRPr="00FA1FE1">
        <w:rPr>
          <w:rFonts w:cs="Arial"/>
          <w:szCs w:val="20"/>
          <w:lang w:val="sl-SI"/>
        </w:rPr>
        <w:t>250 €),</w:t>
      </w:r>
    </w:p>
    <w:p w14:paraId="37F85241" w14:textId="17F38D4B"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od 31. do vključno 35. </w:t>
      </w:r>
      <w:r w:rsidR="00C67D7D">
        <w:rPr>
          <w:rFonts w:cs="Arial"/>
          <w:szCs w:val="20"/>
          <w:lang w:val="sl-SI"/>
        </w:rPr>
        <w:t>plačnega razreda</w:t>
      </w:r>
      <w:r w:rsidRPr="00FA1FE1">
        <w:rPr>
          <w:rFonts w:cs="Arial"/>
          <w:szCs w:val="20"/>
          <w:lang w:val="sl-SI"/>
        </w:rPr>
        <w:t xml:space="preserve"> 1.274,43 € neto (poračun </w:t>
      </w:r>
      <w:r w:rsidR="00EB46F1" w:rsidRPr="00FA1FE1">
        <w:rPr>
          <w:rFonts w:cs="Arial"/>
          <w:szCs w:val="20"/>
          <w:lang w:val="sl-SI"/>
        </w:rPr>
        <w:t xml:space="preserve">v višini </w:t>
      </w:r>
      <w:r w:rsidRPr="00FA1FE1">
        <w:rPr>
          <w:rFonts w:cs="Arial"/>
          <w:szCs w:val="20"/>
          <w:lang w:val="sl-SI"/>
        </w:rPr>
        <w:t>200 €),</w:t>
      </w:r>
    </w:p>
    <w:p w14:paraId="4C786C77" w14:textId="11BC79A1"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od 36. do vključno 40. </w:t>
      </w:r>
      <w:r w:rsidR="00C67D7D">
        <w:rPr>
          <w:rFonts w:cs="Arial"/>
          <w:szCs w:val="20"/>
          <w:lang w:val="sl-SI"/>
        </w:rPr>
        <w:t>plačnega razreda</w:t>
      </w:r>
      <w:r w:rsidRPr="00FA1FE1">
        <w:rPr>
          <w:rFonts w:cs="Arial"/>
          <w:szCs w:val="20"/>
          <w:lang w:val="sl-SI"/>
        </w:rPr>
        <w:t xml:space="preserve"> 1.224,43 € neto (poračun </w:t>
      </w:r>
      <w:r w:rsidR="00EB46F1" w:rsidRPr="00FA1FE1">
        <w:rPr>
          <w:rFonts w:cs="Arial"/>
          <w:szCs w:val="20"/>
          <w:lang w:val="sl-SI"/>
        </w:rPr>
        <w:t xml:space="preserve">v višini </w:t>
      </w:r>
      <w:r w:rsidRPr="00FA1FE1">
        <w:rPr>
          <w:rFonts w:cs="Arial"/>
          <w:szCs w:val="20"/>
          <w:lang w:val="sl-SI"/>
        </w:rPr>
        <w:t>150 €),</w:t>
      </w:r>
    </w:p>
    <w:p w14:paraId="42E5FDCD" w14:textId="3FF8E6A7"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od 41. do vključno 50. </w:t>
      </w:r>
      <w:r w:rsidR="00C67D7D">
        <w:rPr>
          <w:rFonts w:cs="Arial"/>
          <w:szCs w:val="20"/>
          <w:lang w:val="sl-SI"/>
        </w:rPr>
        <w:t>plačnega razreda</w:t>
      </w:r>
      <w:r w:rsidRPr="00FA1FE1">
        <w:rPr>
          <w:rFonts w:cs="Arial"/>
          <w:szCs w:val="20"/>
          <w:lang w:val="sl-SI"/>
        </w:rPr>
        <w:t xml:space="preserve"> 1.174,43 € neto (poračun </w:t>
      </w:r>
      <w:r w:rsidR="00EB46F1" w:rsidRPr="00FA1FE1">
        <w:rPr>
          <w:rFonts w:cs="Arial"/>
          <w:szCs w:val="20"/>
          <w:lang w:val="sl-SI"/>
        </w:rPr>
        <w:t xml:space="preserve">v višini </w:t>
      </w:r>
      <w:r w:rsidRPr="00FA1FE1">
        <w:rPr>
          <w:rFonts w:cs="Arial"/>
          <w:szCs w:val="20"/>
          <w:lang w:val="sl-SI"/>
        </w:rPr>
        <w:t>100 €),</w:t>
      </w:r>
    </w:p>
    <w:p w14:paraId="0C4682E2" w14:textId="1E2619F5" w:rsidR="0056051A" w:rsidRPr="00FA1FE1" w:rsidRDefault="0056051A" w:rsidP="0056051A">
      <w:pPr>
        <w:numPr>
          <w:ilvl w:val="0"/>
          <w:numId w:val="4"/>
        </w:numPr>
        <w:spacing w:after="160" w:line="259" w:lineRule="auto"/>
        <w:jc w:val="both"/>
        <w:rPr>
          <w:rFonts w:cs="Arial"/>
          <w:szCs w:val="20"/>
          <w:lang w:val="sl-SI"/>
        </w:rPr>
      </w:pPr>
      <w:r w:rsidRPr="00FA1FE1">
        <w:rPr>
          <w:rFonts w:cs="Arial"/>
          <w:szCs w:val="20"/>
          <w:lang w:val="sl-SI"/>
        </w:rPr>
        <w:t xml:space="preserve">za 51. in višji </w:t>
      </w:r>
      <w:r w:rsidR="00C67D7D">
        <w:rPr>
          <w:rFonts w:cs="Arial"/>
          <w:szCs w:val="20"/>
          <w:lang w:val="sl-SI"/>
        </w:rPr>
        <w:t>plačni razred</w:t>
      </w:r>
      <w:r w:rsidRPr="00FA1FE1">
        <w:rPr>
          <w:rFonts w:cs="Arial"/>
          <w:szCs w:val="20"/>
          <w:lang w:val="sl-SI"/>
        </w:rPr>
        <w:t xml:space="preserve"> 1.074, 43 € neto (poračuna </w:t>
      </w:r>
      <w:r w:rsidR="00EB46F1" w:rsidRPr="00FA1FE1">
        <w:rPr>
          <w:rFonts w:cs="Arial"/>
          <w:szCs w:val="20"/>
          <w:lang w:val="sl-SI"/>
        </w:rPr>
        <w:t xml:space="preserve">regresa za letni dopust </w:t>
      </w:r>
      <w:r w:rsidRPr="00FA1FE1">
        <w:rPr>
          <w:rFonts w:cs="Arial"/>
          <w:szCs w:val="20"/>
          <w:lang w:val="sl-SI"/>
        </w:rPr>
        <w:t xml:space="preserve">NI). </w:t>
      </w:r>
    </w:p>
    <w:p w14:paraId="307ED974" w14:textId="77777777" w:rsidR="00EB46F1" w:rsidRPr="00FA1FE1" w:rsidRDefault="00EB46F1" w:rsidP="0056051A">
      <w:pPr>
        <w:jc w:val="both"/>
        <w:rPr>
          <w:rFonts w:cs="Arial"/>
          <w:b/>
          <w:bCs/>
          <w:szCs w:val="20"/>
          <w:lang w:val="it-IT"/>
        </w:rPr>
      </w:pPr>
    </w:p>
    <w:p w14:paraId="4575E5B9" w14:textId="52D7FD8B" w:rsidR="000A3A9B" w:rsidRPr="00FA1FE1" w:rsidRDefault="008F229E" w:rsidP="0056051A">
      <w:pPr>
        <w:jc w:val="both"/>
        <w:rPr>
          <w:rFonts w:cs="Arial"/>
          <w:szCs w:val="20"/>
          <w:lang w:val="sl-SI"/>
        </w:rPr>
      </w:pPr>
      <w:r w:rsidRPr="00FA1FE1">
        <w:rPr>
          <w:rFonts w:cs="Arial"/>
          <w:szCs w:val="20"/>
          <w:lang w:val="sl-SI"/>
        </w:rPr>
        <w:t>V Aneksu h KPND je določeno tudi,</w:t>
      </w:r>
      <w:r w:rsidRPr="00FA1FE1">
        <w:rPr>
          <w:rFonts w:cs="Arial"/>
          <w:b/>
          <w:bCs/>
          <w:szCs w:val="20"/>
          <w:lang w:val="sl-SI"/>
        </w:rPr>
        <w:t xml:space="preserve"> </w:t>
      </w:r>
      <w:r w:rsidR="0056051A" w:rsidRPr="00FA1FE1">
        <w:rPr>
          <w:rFonts w:cs="Arial"/>
          <w:szCs w:val="20"/>
          <w:lang w:val="sl-SI"/>
        </w:rPr>
        <w:t xml:space="preserve">da spremembe uvrstitev javnih uslužbencev v plačni razred, premestitve, sklenitve pogodbe o zaposlitvi za drugo delovno mesto in pridobitev pravice do izplačila višje plače po 31. maju 2022 ne vplivajo na določitev višine regresa za letni dopust za leto 2022. </w:t>
      </w:r>
    </w:p>
    <w:p w14:paraId="2C53E3D1" w14:textId="77777777" w:rsidR="008F229E" w:rsidRPr="00FA1FE1" w:rsidRDefault="008F229E" w:rsidP="0056051A">
      <w:pPr>
        <w:jc w:val="both"/>
        <w:rPr>
          <w:rFonts w:cs="Arial"/>
          <w:szCs w:val="20"/>
          <w:lang w:val="sl-SI"/>
        </w:rPr>
      </w:pPr>
    </w:p>
    <w:p w14:paraId="61FA0BD3" w14:textId="77777777" w:rsidR="0052433F" w:rsidRDefault="0056051A" w:rsidP="0056051A">
      <w:pPr>
        <w:jc w:val="both"/>
        <w:rPr>
          <w:rFonts w:cs="Arial"/>
          <w:szCs w:val="20"/>
          <w:lang w:val="sl-SI"/>
        </w:rPr>
      </w:pPr>
      <w:r w:rsidRPr="00FA1FE1">
        <w:rPr>
          <w:rFonts w:cs="Arial"/>
          <w:szCs w:val="20"/>
          <w:lang w:val="sl-SI"/>
        </w:rPr>
        <w:t>To pomeni da je za določitev višine regresa za letni dopust ključno</w:t>
      </w:r>
      <w:r w:rsidR="008F229E" w:rsidRPr="00FA1FE1">
        <w:rPr>
          <w:rFonts w:cs="Arial"/>
          <w:szCs w:val="20"/>
          <w:lang w:val="sl-SI"/>
        </w:rPr>
        <w:t>,</w:t>
      </w:r>
      <w:r w:rsidRPr="00FA1FE1">
        <w:rPr>
          <w:rFonts w:cs="Arial"/>
          <w:szCs w:val="20"/>
          <w:lang w:val="sl-SI"/>
        </w:rPr>
        <w:t xml:space="preserve"> </w:t>
      </w:r>
      <w:r w:rsidR="008F229E" w:rsidRPr="00FA1FE1">
        <w:rPr>
          <w:rFonts w:cs="Arial"/>
          <w:szCs w:val="20"/>
          <w:lang w:val="sl-SI"/>
        </w:rPr>
        <w:t xml:space="preserve">za </w:t>
      </w:r>
      <w:r w:rsidRPr="00FA1FE1">
        <w:rPr>
          <w:rFonts w:cs="Arial"/>
          <w:szCs w:val="20"/>
          <w:lang w:val="sl-SI"/>
        </w:rPr>
        <w:t xml:space="preserve">kateri </w:t>
      </w:r>
      <w:r w:rsidR="008F229E" w:rsidRPr="00FA1FE1">
        <w:rPr>
          <w:rFonts w:cs="Arial"/>
          <w:szCs w:val="20"/>
          <w:lang w:val="sl-SI"/>
        </w:rPr>
        <w:t>plačni razred</w:t>
      </w:r>
      <w:r w:rsidRPr="00FA1FE1">
        <w:rPr>
          <w:rFonts w:cs="Arial"/>
          <w:szCs w:val="20"/>
          <w:lang w:val="sl-SI"/>
        </w:rPr>
        <w:t xml:space="preserve"> je </w:t>
      </w:r>
      <w:r w:rsidR="008F229E" w:rsidRPr="00FA1FE1">
        <w:rPr>
          <w:rFonts w:cs="Arial"/>
          <w:szCs w:val="20"/>
          <w:lang w:val="sl-SI"/>
        </w:rPr>
        <w:t xml:space="preserve">javni uslužbenec prejemal plačo </w:t>
      </w:r>
      <w:r w:rsidRPr="00FA1FE1">
        <w:rPr>
          <w:rFonts w:cs="Arial"/>
          <w:szCs w:val="20"/>
          <w:lang w:val="sl-SI"/>
        </w:rPr>
        <w:t xml:space="preserve">na dan 31. maja 2022. </w:t>
      </w:r>
    </w:p>
    <w:p w14:paraId="527A3812" w14:textId="77777777" w:rsidR="0052433F" w:rsidRDefault="0052433F" w:rsidP="0056051A">
      <w:pPr>
        <w:jc w:val="both"/>
        <w:rPr>
          <w:rFonts w:cs="Arial"/>
          <w:szCs w:val="20"/>
          <w:lang w:val="sl-SI"/>
        </w:rPr>
      </w:pPr>
    </w:p>
    <w:p w14:paraId="767F87B4" w14:textId="51E3CD44" w:rsidR="0052433F" w:rsidRDefault="0052433F" w:rsidP="0052433F">
      <w:pPr>
        <w:jc w:val="both"/>
        <w:rPr>
          <w:rFonts w:cs="Arial"/>
          <w:szCs w:val="20"/>
          <w:lang w:val="sl-SI"/>
        </w:rPr>
      </w:pPr>
      <w:r w:rsidRPr="00FA1FE1">
        <w:rPr>
          <w:rFonts w:cs="Arial"/>
          <w:szCs w:val="20"/>
          <w:u w:val="single"/>
          <w:lang w:val="sl-SI"/>
        </w:rPr>
        <w:t>Primer:</w:t>
      </w:r>
      <w:r w:rsidRPr="00FA1FE1">
        <w:rPr>
          <w:rFonts w:cs="Arial"/>
          <w:szCs w:val="20"/>
          <w:lang w:val="sl-SI"/>
        </w:rPr>
        <w:t xml:space="preserve"> javni uslužbenec je </w:t>
      </w:r>
      <w:r w:rsidR="00EC480C">
        <w:rPr>
          <w:rFonts w:cs="Arial"/>
          <w:szCs w:val="20"/>
          <w:lang w:val="sl-SI"/>
        </w:rPr>
        <w:t xml:space="preserve">bil </w:t>
      </w:r>
      <w:r w:rsidRPr="00FA1FE1">
        <w:rPr>
          <w:rFonts w:cs="Arial"/>
          <w:szCs w:val="20"/>
          <w:lang w:val="sl-SI"/>
        </w:rPr>
        <w:t>na dan 31. maja 2022 uvrščen v 22. plačni razred, 1. septembra 2022 pa se je zaposlil na drugem delovnem mestu in se je uvrstil v 25. plačni razred. V konkretnem primeru se upošteva plačni razred, v katerega je bil uvrščen na dan 31. maja 2022, kar pomeni, da prejme poračun regresa za letni dopust v višini 300 EUR.</w:t>
      </w:r>
    </w:p>
    <w:p w14:paraId="4FBBE05D" w14:textId="77777777" w:rsidR="0052433F" w:rsidRPr="00FA1FE1" w:rsidRDefault="0052433F" w:rsidP="0052433F">
      <w:pPr>
        <w:jc w:val="both"/>
        <w:rPr>
          <w:rFonts w:cs="Arial"/>
          <w:szCs w:val="20"/>
          <w:lang w:val="sl-SI"/>
        </w:rPr>
      </w:pPr>
    </w:p>
    <w:p w14:paraId="14AD35A5" w14:textId="42D926F0" w:rsidR="0056051A" w:rsidRPr="00FA1FE1" w:rsidRDefault="000A3A9B" w:rsidP="0056051A">
      <w:pPr>
        <w:jc w:val="both"/>
        <w:rPr>
          <w:rFonts w:cs="Arial"/>
          <w:b/>
          <w:bCs/>
          <w:szCs w:val="20"/>
          <w:lang w:val="sl-SI"/>
        </w:rPr>
      </w:pPr>
      <w:r>
        <w:rPr>
          <w:rFonts w:cs="Arial"/>
          <w:szCs w:val="20"/>
          <w:lang w:val="sl-SI"/>
        </w:rPr>
        <w:t>Če delodaja</w:t>
      </w:r>
      <w:r w:rsidR="00CC3E25">
        <w:rPr>
          <w:rFonts w:cs="Arial"/>
          <w:szCs w:val="20"/>
          <w:lang w:val="sl-SI"/>
        </w:rPr>
        <w:t>lec</w:t>
      </w:r>
      <w:r>
        <w:rPr>
          <w:rFonts w:cs="Arial"/>
          <w:szCs w:val="20"/>
          <w:lang w:val="sl-SI"/>
        </w:rPr>
        <w:t xml:space="preserve"> v primeru, ko je bil javni uslužbenec na dan 31. maja 2022 zaposlen pri drugem delodajalcu</w:t>
      </w:r>
      <w:r w:rsidR="00B66833">
        <w:rPr>
          <w:rFonts w:cs="Arial"/>
          <w:szCs w:val="20"/>
          <w:lang w:val="sl-SI"/>
        </w:rPr>
        <w:t>,</w:t>
      </w:r>
      <w:r>
        <w:rPr>
          <w:rFonts w:cs="Arial"/>
          <w:szCs w:val="20"/>
          <w:lang w:val="sl-SI"/>
        </w:rPr>
        <w:t xml:space="preserve"> ne razpolaga s podatkom o uvrstitvi javnega uslužbenca v plačni razred na dan 31. maja 2022 predlagamo, da ta podatek pridobi od prejšnjega delodajalca ali pa javnega uslužbenca prosi za predložitev dokazila, iz katerega bo razvidna uvrstitev v plačni razred na dan 31. maja 2022. </w:t>
      </w:r>
    </w:p>
    <w:p w14:paraId="5E04A60B" w14:textId="77777777" w:rsidR="008F229E" w:rsidRPr="000A3A9B" w:rsidRDefault="008F229E" w:rsidP="0056051A">
      <w:pPr>
        <w:jc w:val="both"/>
        <w:rPr>
          <w:rFonts w:cs="Arial"/>
          <w:szCs w:val="20"/>
          <w:lang w:val="sl-SI"/>
        </w:rPr>
      </w:pPr>
    </w:p>
    <w:p w14:paraId="7BFCFF6B" w14:textId="77777777" w:rsidR="00800586" w:rsidRPr="00FA1FE1" w:rsidRDefault="00800586" w:rsidP="00800586">
      <w:pPr>
        <w:jc w:val="both"/>
        <w:rPr>
          <w:rFonts w:cs="Arial"/>
          <w:szCs w:val="20"/>
          <w:lang w:val="sl-SI"/>
        </w:rPr>
      </w:pPr>
    </w:p>
    <w:p w14:paraId="53EFC8A4" w14:textId="6E505CC4" w:rsidR="0056051A" w:rsidRPr="00FA1FE1" w:rsidRDefault="0056051A" w:rsidP="0056051A">
      <w:pPr>
        <w:jc w:val="both"/>
        <w:rPr>
          <w:rFonts w:cs="Arial"/>
          <w:szCs w:val="20"/>
          <w:lang w:val="sl-SI"/>
        </w:rPr>
      </w:pPr>
      <w:r w:rsidRPr="00FA1FE1">
        <w:rPr>
          <w:rFonts w:cs="Arial"/>
          <w:szCs w:val="20"/>
          <w:lang w:val="sl-SI"/>
        </w:rPr>
        <w:lastRenderedPageBreak/>
        <w:t>V primeru zaposlitve v javnem sektorju po 31. maju 2022 se javnemu uslužbencu določi sorazmerni del višine regresa za letni dopust za leto 2022 glede na plačni razred, za katerega prejema plačo na dan sklenitve delovnega razmerja.</w:t>
      </w:r>
    </w:p>
    <w:p w14:paraId="1C03B5D4" w14:textId="55634BC6" w:rsidR="00E8281C" w:rsidRPr="00FA1FE1" w:rsidRDefault="00E8281C" w:rsidP="0056051A">
      <w:pPr>
        <w:jc w:val="both"/>
        <w:rPr>
          <w:rFonts w:cs="Arial"/>
          <w:szCs w:val="20"/>
          <w:lang w:val="sl-SI"/>
        </w:rPr>
      </w:pPr>
    </w:p>
    <w:p w14:paraId="30F12348" w14:textId="0B438F86" w:rsidR="0056051A" w:rsidRPr="00FA1FE1" w:rsidRDefault="0056051A" w:rsidP="0056051A">
      <w:pPr>
        <w:jc w:val="both"/>
        <w:rPr>
          <w:rFonts w:cs="Arial"/>
          <w:szCs w:val="20"/>
          <w:lang w:val="sl-SI"/>
        </w:rPr>
      </w:pPr>
      <w:r w:rsidRPr="00FA1FE1">
        <w:rPr>
          <w:rFonts w:cs="Arial"/>
          <w:szCs w:val="20"/>
          <w:lang w:val="sl-SI"/>
        </w:rPr>
        <w:t>V primeru prenehanja delovnega razmerja v javnem sektorju pred 31. majem 2022 se javnemu uslužbencu določi sorazmerni del višine regresa za letni dopust za leto 2022 glede na plačni razred, za katerega je prejemal plačo na dan prenehanja delovnega razmerja.</w:t>
      </w:r>
    </w:p>
    <w:p w14:paraId="28D5EFAF" w14:textId="77777777" w:rsidR="00800586" w:rsidRPr="00FA1FE1" w:rsidRDefault="00800586" w:rsidP="0056051A">
      <w:pPr>
        <w:jc w:val="both"/>
        <w:rPr>
          <w:rFonts w:cs="Arial"/>
          <w:szCs w:val="20"/>
          <w:lang w:val="sl-SI"/>
        </w:rPr>
      </w:pPr>
    </w:p>
    <w:p w14:paraId="2DE3439E" w14:textId="774FA6C8" w:rsidR="0056051A" w:rsidRPr="00FA1FE1" w:rsidRDefault="0056051A" w:rsidP="0056051A">
      <w:pPr>
        <w:jc w:val="both"/>
        <w:rPr>
          <w:rFonts w:cs="Arial"/>
          <w:szCs w:val="20"/>
          <w:lang w:val="sl-SI"/>
        </w:rPr>
      </w:pPr>
      <w:r w:rsidRPr="00FA1FE1">
        <w:rPr>
          <w:rFonts w:cs="Arial"/>
          <w:szCs w:val="20"/>
          <w:lang w:val="sl-SI"/>
        </w:rPr>
        <w:t>Javnim uslužbencem</w:t>
      </w:r>
      <w:r w:rsidR="008F229E" w:rsidRPr="00FA1FE1">
        <w:rPr>
          <w:rFonts w:cs="Arial"/>
          <w:szCs w:val="20"/>
          <w:lang w:val="sl-SI"/>
        </w:rPr>
        <w:t xml:space="preserve"> se regres za letni dopust poračuna</w:t>
      </w:r>
      <w:r w:rsidRPr="00FA1FE1">
        <w:rPr>
          <w:rFonts w:cs="Arial"/>
          <w:szCs w:val="20"/>
          <w:lang w:val="sl-SI"/>
        </w:rPr>
        <w:t xml:space="preserve"> pri plači za oktober 2022 (izplačilo v novembru 2022) do višine, določene v </w:t>
      </w:r>
      <w:r w:rsidR="00A407D6">
        <w:rPr>
          <w:rFonts w:cs="Arial"/>
          <w:szCs w:val="20"/>
          <w:lang w:val="sl-SI"/>
        </w:rPr>
        <w:t>A</w:t>
      </w:r>
      <w:r w:rsidRPr="00FA1FE1">
        <w:rPr>
          <w:rFonts w:cs="Arial"/>
          <w:szCs w:val="20"/>
          <w:lang w:val="sl-SI"/>
        </w:rPr>
        <w:t>neksu</w:t>
      </w:r>
      <w:r w:rsidR="00A407D6">
        <w:rPr>
          <w:rFonts w:cs="Arial"/>
          <w:szCs w:val="20"/>
          <w:lang w:val="sl-SI"/>
        </w:rPr>
        <w:t xml:space="preserve"> h KPND</w:t>
      </w:r>
      <w:r w:rsidRPr="00FA1FE1">
        <w:rPr>
          <w:rFonts w:cs="Arial"/>
          <w:szCs w:val="20"/>
          <w:lang w:val="sl-SI"/>
        </w:rPr>
        <w:t xml:space="preserve">.     </w:t>
      </w:r>
    </w:p>
    <w:bookmarkEnd w:id="2"/>
    <w:p w14:paraId="51043D86" w14:textId="390D8068" w:rsidR="00A033C4" w:rsidRPr="00A033C4" w:rsidRDefault="00A033C4" w:rsidP="00A033C4">
      <w:pPr>
        <w:spacing w:before="100" w:beforeAutospacing="1" w:after="100" w:afterAutospacing="1" w:line="240" w:lineRule="exact"/>
        <w:jc w:val="both"/>
        <w:rPr>
          <w:rFonts w:cs="Arial"/>
          <w:szCs w:val="20"/>
          <w:lang w:val="sl-SI"/>
        </w:rPr>
      </w:pPr>
      <w:r>
        <w:rPr>
          <w:rFonts w:cs="Arial"/>
          <w:szCs w:val="20"/>
          <w:lang w:val="sl-SI"/>
        </w:rPr>
        <w:t>V skladu z delovnopravno zakonodajo in sodno prakso izplačilo dohodka, ki se označi kot regres za letni dopust in izplača po 1. juliju, vsebinsko načeloma ni možno opredeliti kot regres (razen pod posebnimi pogoji, določenimi v delovnopravni zakonodaji). Zato se dogovorjena pravica do poračuna</w:t>
      </w:r>
      <w:r w:rsidRPr="00FA1FE1">
        <w:rPr>
          <w:rFonts w:cs="Arial"/>
          <w:szCs w:val="20"/>
          <w:lang w:val="sl-SI"/>
        </w:rPr>
        <w:t xml:space="preserve"> regresa za letni dopust</w:t>
      </w:r>
      <w:r>
        <w:rPr>
          <w:rFonts w:cs="Arial"/>
          <w:szCs w:val="20"/>
          <w:lang w:val="sl-SI"/>
        </w:rPr>
        <w:t xml:space="preserve"> </w:t>
      </w:r>
      <w:r w:rsidRPr="00FA1FE1">
        <w:rPr>
          <w:rFonts w:cs="Arial"/>
          <w:szCs w:val="20"/>
          <w:lang w:val="sl-SI"/>
        </w:rPr>
        <w:t>obdavči</w:t>
      </w:r>
      <w:r>
        <w:rPr>
          <w:rFonts w:cs="Arial"/>
          <w:szCs w:val="20"/>
          <w:lang w:val="sl-SI"/>
        </w:rPr>
        <w:t>, saj ne izpolnjuje pogojev iz 13. točke prvega odstavka 44. člena Zakona o dohodnini</w:t>
      </w:r>
      <w:r w:rsidRPr="00FA1FE1">
        <w:rPr>
          <w:rFonts w:cs="Arial"/>
          <w:szCs w:val="20"/>
          <w:lang w:val="sl-SI"/>
        </w:rPr>
        <w:t xml:space="preserve">. Pri poročanju na REK obrazcu se torej v tem primeru ne uporabi šifra vrste dohodka, ki je namenjena za regres (1090), temveč se uporabi šifra za druge dohodke iz delovnega razmerja (1150). </w:t>
      </w:r>
    </w:p>
    <w:p w14:paraId="30F53434" w14:textId="6498B27C" w:rsidR="0056051A" w:rsidRPr="00FA1FE1" w:rsidRDefault="0056051A" w:rsidP="00274DE3">
      <w:pPr>
        <w:pStyle w:val="xmsonormal"/>
        <w:jc w:val="both"/>
        <w:rPr>
          <w:rFonts w:ascii="Arial" w:hAnsi="Arial" w:cs="Arial"/>
          <w:sz w:val="20"/>
          <w:szCs w:val="20"/>
        </w:rPr>
      </w:pPr>
      <w:r w:rsidRPr="00FA1FE1">
        <w:rPr>
          <w:rFonts w:ascii="Arial" w:hAnsi="Arial" w:cs="Arial"/>
          <w:sz w:val="20"/>
          <w:szCs w:val="20"/>
        </w:rPr>
        <w:t xml:space="preserve">Glede na to, da je v dogovoru in </w:t>
      </w:r>
      <w:r w:rsidR="00BD5103">
        <w:rPr>
          <w:rFonts w:ascii="Arial" w:hAnsi="Arial" w:cs="Arial"/>
          <w:sz w:val="20"/>
          <w:szCs w:val="20"/>
        </w:rPr>
        <w:t>A</w:t>
      </w:r>
      <w:r w:rsidRPr="00FA1FE1">
        <w:rPr>
          <w:rFonts w:ascii="Arial" w:hAnsi="Arial" w:cs="Arial"/>
          <w:sz w:val="20"/>
          <w:szCs w:val="20"/>
        </w:rPr>
        <w:t xml:space="preserve">neksu h KPND določeno, da </w:t>
      </w:r>
      <w:r w:rsidR="00064CAC">
        <w:rPr>
          <w:rFonts w:ascii="Arial" w:hAnsi="Arial" w:cs="Arial"/>
          <w:sz w:val="20"/>
          <w:szCs w:val="20"/>
        </w:rPr>
        <w:t>j</w:t>
      </w:r>
      <w:r w:rsidR="00274DE3" w:rsidRPr="00FA1FE1">
        <w:rPr>
          <w:rFonts w:ascii="Arial" w:hAnsi="Arial" w:cs="Arial"/>
          <w:sz w:val="20"/>
          <w:szCs w:val="20"/>
        </w:rPr>
        <w:t xml:space="preserve">avni uslužbenec </w:t>
      </w:r>
      <w:r w:rsidRPr="00FA1FE1">
        <w:rPr>
          <w:rFonts w:ascii="Arial" w:hAnsi="Arial" w:cs="Arial"/>
          <w:sz w:val="20"/>
          <w:szCs w:val="20"/>
        </w:rPr>
        <w:t xml:space="preserve">prejme neto znesek </w:t>
      </w:r>
      <w:r w:rsidR="00274DE3" w:rsidRPr="00FA1FE1">
        <w:rPr>
          <w:rFonts w:ascii="Arial" w:hAnsi="Arial" w:cs="Arial"/>
          <w:sz w:val="20"/>
          <w:szCs w:val="20"/>
        </w:rPr>
        <w:t>regresa za letni dopust</w:t>
      </w:r>
      <w:r w:rsidRPr="00FA1FE1">
        <w:rPr>
          <w:rFonts w:ascii="Arial" w:hAnsi="Arial" w:cs="Arial"/>
          <w:sz w:val="20"/>
          <w:szCs w:val="20"/>
        </w:rPr>
        <w:t xml:space="preserve"> je treba določiti ustrezni bruto znesek dohodka vsakega posameznika, da bo po plačilu davkov in prispevkov zagotovlje</w:t>
      </w:r>
      <w:r w:rsidR="00274DE3" w:rsidRPr="00FA1FE1">
        <w:rPr>
          <w:rFonts w:ascii="Arial" w:hAnsi="Arial" w:cs="Arial"/>
          <w:sz w:val="20"/>
          <w:szCs w:val="20"/>
        </w:rPr>
        <w:t>n posamezniku</w:t>
      </w:r>
      <w:r w:rsidRPr="00FA1FE1">
        <w:rPr>
          <w:rFonts w:ascii="Arial" w:hAnsi="Arial" w:cs="Arial"/>
          <w:sz w:val="20"/>
          <w:szCs w:val="20"/>
        </w:rPr>
        <w:t xml:space="preserve"> neto dohodek.  Zaradi poenostavitve je v teh primerih možno, da se določijo enotni bruto znesk</w:t>
      </w:r>
      <w:r w:rsidR="00274DE3" w:rsidRPr="00FA1FE1">
        <w:rPr>
          <w:rFonts w:ascii="Arial" w:hAnsi="Arial" w:cs="Arial"/>
          <w:sz w:val="20"/>
          <w:szCs w:val="20"/>
        </w:rPr>
        <w:t>i</w:t>
      </w:r>
      <w:r w:rsidRPr="00FA1FE1">
        <w:rPr>
          <w:rFonts w:ascii="Arial" w:hAnsi="Arial" w:cs="Arial"/>
          <w:sz w:val="20"/>
          <w:szCs w:val="20"/>
        </w:rPr>
        <w:t xml:space="preserve">. </w:t>
      </w:r>
      <w:r w:rsidR="008F229E" w:rsidRPr="00FA1FE1">
        <w:rPr>
          <w:rFonts w:ascii="Arial" w:hAnsi="Arial" w:cs="Arial"/>
          <w:sz w:val="20"/>
          <w:szCs w:val="20"/>
        </w:rPr>
        <w:t xml:space="preserve">MFERAC je bruto zneske določil na </w:t>
      </w:r>
      <w:r w:rsidR="00274DE3" w:rsidRPr="00FA1FE1">
        <w:rPr>
          <w:rFonts w:ascii="Arial" w:hAnsi="Arial" w:cs="Arial"/>
          <w:sz w:val="20"/>
          <w:szCs w:val="20"/>
        </w:rPr>
        <w:t>spodnji</w:t>
      </w:r>
      <w:r w:rsidR="008F229E" w:rsidRPr="00FA1FE1">
        <w:rPr>
          <w:rFonts w:ascii="Arial" w:hAnsi="Arial" w:cs="Arial"/>
          <w:sz w:val="20"/>
          <w:szCs w:val="20"/>
        </w:rPr>
        <w:t xml:space="preserve"> način. Predlagamo, da zaradi enotnega postopanja določite bruto zneske v enaki višini</w:t>
      </w:r>
      <w:r w:rsidR="00274DE3" w:rsidRPr="00FA1FE1">
        <w:rPr>
          <w:rFonts w:ascii="Arial" w:hAnsi="Arial" w:cs="Arial"/>
          <w:sz w:val="20"/>
          <w:szCs w:val="20"/>
        </w:rPr>
        <w:t>:</w:t>
      </w:r>
    </w:p>
    <w:p w14:paraId="2C61A4CE" w14:textId="38FC4F73" w:rsidR="008F229E" w:rsidRPr="00FA1FE1" w:rsidRDefault="008F229E" w:rsidP="00274DE3">
      <w:pPr>
        <w:pStyle w:val="xmsonormal"/>
        <w:jc w:val="both"/>
        <w:rPr>
          <w:rFonts w:ascii="Arial" w:eastAsia="Times New Roman" w:hAnsi="Arial" w:cs="Arial"/>
          <w:sz w:val="20"/>
          <w:szCs w:val="20"/>
          <w:lang w:eastAsia="en-US"/>
        </w:rPr>
      </w:pPr>
    </w:p>
    <w:p w14:paraId="5EC8C7A9" w14:textId="5965DDF0" w:rsidR="008F229E" w:rsidRPr="00FA1FE1" w:rsidRDefault="008F229E" w:rsidP="008F229E">
      <w:pPr>
        <w:numPr>
          <w:ilvl w:val="0"/>
          <w:numId w:val="4"/>
        </w:numPr>
        <w:spacing w:after="160" w:line="259" w:lineRule="auto"/>
        <w:jc w:val="both"/>
        <w:rPr>
          <w:rFonts w:cs="Arial"/>
          <w:szCs w:val="20"/>
          <w:lang w:val="sl-SI"/>
        </w:rPr>
      </w:pPr>
      <w:r w:rsidRPr="00FA1FE1">
        <w:rPr>
          <w:rFonts w:cs="Arial"/>
          <w:szCs w:val="20"/>
          <w:lang w:val="sl-SI"/>
        </w:rPr>
        <w:t>za neto znesek v višini 300 € znaša bruto znesek 458,46 € (16% dohodnin</w:t>
      </w:r>
      <w:r w:rsidR="00E8281C" w:rsidRPr="00FA1FE1">
        <w:rPr>
          <w:rFonts w:cs="Arial"/>
          <w:szCs w:val="20"/>
          <w:lang w:val="sl-SI"/>
        </w:rPr>
        <w:t>a</w:t>
      </w:r>
      <w:r w:rsidRPr="00FA1FE1">
        <w:rPr>
          <w:rFonts w:cs="Arial"/>
          <w:szCs w:val="20"/>
          <w:lang w:val="sl-SI"/>
        </w:rPr>
        <w:t xml:space="preserve"> in 22,1% prispevk</w:t>
      </w:r>
      <w:r w:rsidR="00E8281C" w:rsidRPr="00FA1FE1">
        <w:rPr>
          <w:rFonts w:cs="Arial"/>
          <w:szCs w:val="20"/>
          <w:lang w:val="sl-SI"/>
        </w:rPr>
        <w:t>i</w:t>
      </w:r>
      <w:r w:rsidRPr="00FA1FE1">
        <w:rPr>
          <w:rFonts w:cs="Arial"/>
          <w:szCs w:val="20"/>
          <w:lang w:val="sl-SI"/>
        </w:rPr>
        <w:t xml:space="preserve"> javnega uslužbenca</w:t>
      </w:r>
      <w:r w:rsidR="00E8281C" w:rsidRPr="00FA1FE1">
        <w:rPr>
          <w:rFonts w:cs="Arial"/>
          <w:szCs w:val="20"/>
          <w:lang w:val="sl-SI"/>
        </w:rPr>
        <w:t>)</w:t>
      </w:r>
    </w:p>
    <w:p w14:paraId="55FEB214" w14:textId="30547CA9" w:rsidR="008F229E" w:rsidRPr="00FA1FE1" w:rsidRDefault="008F229E" w:rsidP="008F229E">
      <w:pPr>
        <w:numPr>
          <w:ilvl w:val="0"/>
          <w:numId w:val="4"/>
        </w:numPr>
        <w:spacing w:after="160" w:line="259" w:lineRule="auto"/>
        <w:jc w:val="both"/>
        <w:rPr>
          <w:rFonts w:cs="Arial"/>
          <w:szCs w:val="20"/>
          <w:lang w:val="sl-SI"/>
        </w:rPr>
      </w:pPr>
      <w:r w:rsidRPr="00FA1FE1">
        <w:rPr>
          <w:rFonts w:cs="Arial"/>
          <w:szCs w:val="20"/>
          <w:lang w:val="sl-SI"/>
        </w:rPr>
        <w:t>za neto znesek v višini 250 € znaša bruto znesek 386,66</w:t>
      </w:r>
      <w:r w:rsidR="00E8281C" w:rsidRPr="00FA1FE1">
        <w:rPr>
          <w:rFonts w:cs="Arial"/>
          <w:szCs w:val="20"/>
          <w:lang w:val="sl-SI"/>
        </w:rPr>
        <w:t xml:space="preserve"> €</w:t>
      </w:r>
      <w:r w:rsidRPr="00FA1FE1">
        <w:rPr>
          <w:rFonts w:cs="Arial"/>
          <w:szCs w:val="20"/>
          <w:lang w:val="sl-SI"/>
        </w:rPr>
        <w:t xml:space="preserve"> (17% dohodnin</w:t>
      </w:r>
      <w:r w:rsidR="00E8281C" w:rsidRPr="00FA1FE1">
        <w:rPr>
          <w:rFonts w:cs="Arial"/>
          <w:szCs w:val="20"/>
          <w:lang w:val="sl-SI"/>
        </w:rPr>
        <w:t>a</w:t>
      </w:r>
      <w:r w:rsidRPr="00FA1FE1">
        <w:rPr>
          <w:rFonts w:cs="Arial"/>
          <w:szCs w:val="20"/>
          <w:lang w:val="sl-SI"/>
        </w:rPr>
        <w:t xml:space="preserve"> in 22,1% prispevk</w:t>
      </w:r>
      <w:r w:rsidR="00E8281C" w:rsidRPr="00FA1FE1">
        <w:rPr>
          <w:rFonts w:cs="Arial"/>
          <w:szCs w:val="20"/>
          <w:lang w:val="sl-SI"/>
        </w:rPr>
        <w:t>i</w:t>
      </w:r>
      <w:r w:rsidRPr="00FA1FE1">
        <w:rPr>
          <w:rFonts w:cs="Arial"/>
          <w:szCs w:val="20"/>
          <w:lang w:val="sl-SI"/>
        </w:rPr>
        <w:t xml:space="preserve"> javnega uslužbenca</w:t>
      </w:r>
      <w:r w:rsidR="00E8281C" w:rsidRPr="00FA1FE1">
        <w:rPr>
          <w:rFonts w:cs="Arial"/>
          <w:szCs w:val="20"/>
          <w:lang w:val="sl-SI"/>
        </w:rPr>
        <w:t>)</w:t>
      </w:r>
    </w:p>
    <w:p w14:paraId="57F05DE5" w14:textId="09399504" w:rsidR="008F229E" w:rsidRPr="00FA1FE1" w:rsidRDefault="008F229E" w:rsidP="008F229E">
      <w:pPr>
        <w:numPr>
          <w:ilvl w:val="0"/>
          <w:numId w:val="4"/>
        </w:numPr>
        <w:spacing w:after="160" w:line="259" w:lineRule="auto"/>
        <w:jc w:val="both"/>
        <w:rPr>
          <w:rFonts w:cs="Arial"/>
          <w:szCs w:val="20"/>
          <w:lang w:val="sl-SI"/>
        </w:rPr>
      </w:pPr>
      <w:r w:rsidRPr="00FA1FE1">
        <w:rPr>
          <w:rFonts w:cs="Arial"/>
          <w:szCs w:val="20"/>
          <w:lang w:val="sl-SI"/>
        </w:rPr>
        <w:t xml:space="preserve">za neto znesek v višini </w:t>
      </w:r>
      <w:r w:rsidR="00E8281C" w:rsidRPr="00FA1FE1">
        <w:rPr>
          <w:rFonts w:cs="Arial"/>
          <w:szCs w:val="20"/>
          <w:lang w:val="sl-SI"/>
        </w:rPr>
        <w:t>200</w:t>
      </w:r>
      <w:r w:rsidRPr="00FA1FE1">
        <w:rPr>
          <w:rFonts w:cs="Arial"/>
          <w:szCs w:val="20"/>
          <w:lang w:val="sl-SI"/>
        </w:rPr>
        <w:t xml:space="preserve"> € znaša bruto znesek 313,09 </w:t>
      </w:r>
      <w:r w:rsidR="00E8281C" w:rsidRPr="00FA1FE1">
        <w:rPr>
          <w:rFonts w:cs="Arial"/>
          <w:szCs w:val="20"/>
          <w:lang w:val="sl-SI"/>
        </w:rPr>
        <w:t xml:space="preserve">€ </w:t>
      </w:r>
      <w:r w:rsidRPr="00FA1FE1">
        <w:rPr>
          <w:rFonts w:cs="Arial"/>
          <w:szCs w:val="20"/>
          <w:lang w:val="sl-SI"/>
        </w:rPr>
        <w:t>(18% dohodnina in 22,1% prispevk</w:t>
      </w:r>
      <w:r w:rsidR="00E8281C" w:rsidRPr="00FA1FE1">
        <w:rPr>
          <w:rFonts w:cs="Arial"/>
          <w:szCs w:val="20"/>
          <w:lang w:val="sl-SI"/>
        </w:rPr>
        <w:t>i</w:t>
      </w:r>
      <w:r w:rsidRPr="00FA1FE1">
        <w:rPr>
          <w:rFonts w:cs="Arial"/>
          <w:szCs w:val="20"/>
          <w:lang w:val="sl-SI"/>
        </w:rPr>
        <w:t xml:space="preserve"> javnega uslužbenca</w:t>
      </w:r>
      <w:r w:rsidR="00E8281C" w:rsidRPr="00FA1FE1">
        <w:rPr>
          <w:rFonts w:cs="Arial"/>
          <w:szCs w:val="20"/>
          <w:lang w:val="sl-SI"/>
        </w:rPr>
        <w:t>)</w:t>
      </w:r>
    </w:p>
    <w:p w14:paraId="235A393E" w14:textId="1B396B5A" w:rsidR="00E8281C" w:rsidRPr="00FA1FE1" w:rsidRDefault="00E8281C" w:rsidP="00E8281C">
      <w:pPr>
        <w:numPr>
          <w:ilvl w:val="0"/>
          <w:numId w:val="4"/>
        </w:numPr>
        <w:spacing w:after="160" w:line="259" w:lineRule="auto"/>
        <w:jc w:val="both"/>
        <w:rPr>
          <w:rFonts w:cs="Arial"/>
          <w:szCs w:val="20"/>
          <w:lang w:val="sl-SI"/>
        </w:rPr>
      </w:pPr>
      <w:r w:rsidRPr="00FA1FE1">
        <w:rPr>
          <w:rFonts w:cs="Arial"/>
          <w:szCs w:val="20"/>
          <w:lang w:val="sl-SI"/>
        </w:rPr>
        <w:t>za neto znesek v višini 150 € znaša bruto znesek 243,73 € (21% dohodnina in 22,1% prispevki javnega uslužbenca)</w:t>
      </w:r>
    </w:p>
    <w:p w14:paraId="3B2B5865" w14:textId="72524145" w:rsidR="00E8281C" w:rsidRPr="00FA1FE1" w:rsidRDefault="00E8281C" w:rsidP="00E8281C">
      <w:pPr>
        <w:numPr>
          <w:ilvl w:val="0"/>
          <w:numId w:val="4"/>
        </w:numPr>
        <w:spacing w:after="160" w:line="259" w:lineRule="auto"/>
        <w:jc w:val="both"/>
        <w:rPr>
          <w:rFonts w:cs="Arial"/>
          <w:szCs w:val="20"/>
          <w:lang w:val="sl-SI"/>
        </w:rPr>
      </w:pPr>
      <w:r w:rsidRPr="00FA1FE1">
        <w:rPr>
          <w:rFonts w:cs="Arial"/>
          <w:szCs w:val="20"/>
          <w:lang w:val="sl-SI"/>
        </w:rPr>
        <w:t>za neto znesek v višini 100 € znaša bruto znesek 166,71</w:t>
      </w:r>
      <w:r w:rsidRPr="00FA1FE1">
        <w:rPr>
          <w:rFonts w:cs="Arial"/>
          <w:color w:val="FF0000"/>
          <w:szCs w:val="20"/>
          <w:lang w:val="sl-SI" w:eastAsia="sl-SI"/>
        </w:rPr>
        <w:t xml:space="preserve"> </w:t>
      </w:r>
      <w:r w:rsidRPr="00FA1FE1">
        <w:rPr>
          <w:rFonts w:cs="Arial"/>
          <w:szCs w:val="20"/>
          <w:lang w:val="sl-SI"/>
        </w:rPr>
        <w:t>€ (23% dohodnina in 22,1% prispevki javnega uslužbenca)</w:t>
      </w:r>
    </w:p>
    <w:p w14:paraId="2AF73895" w14:textId="59CC57CA" w:rsidR="00E8281C" w:rsidRPr="00FA1FE1" w:rsidRDefault="00E8281C" w:rsidP="00274DE3">
      <w:pPr>
        <w:spacing w:after="160" w:line="259" w:lineRule="auto"/>
        <w:jc w:val="both"/>
        <w:rPr>
          <w:rFonts w:cs="Arial"/>
          <w:szCs w:val="20"/>
          <w:lang w:val="sl-SI"/>
        </w:rPr>
      </w:pPr>
      <w:r w:rsidRPr="00FA1FE1">
        <w:rPr>
          <w:rFonts w:cs="Arial"/>
          <w:szCs w:val="20"/>
          <w:lang w:val="sl-SI"/>
        </w:rPr>
        <w:t xml:space="preserve">Na tako določene bruto zneske se plačajo tudi prispevki delodajalca. </w:t>
      </w:r>
    </w:p>
    <w:p w14:paraId="17F17B62" w14:textId="5E093BD7" w:rsidR="00274DE3" w:rsidRPr="00FA1FE1" w:rsidRDefault="00274DE3" w:rsidP="00274DE3">
      <w:pPr>
        <w:spacing w:line="240" w:lineRule="exact"/>
        <w:jc w:val="both"/>
        <w:rPr>
          <w:rFonts w:cs="Arial"/>
          <w:szCs w:val="20"/>
          <w:lang w:val="sl-SI"/>
        </w:rPr>
      </w:pPr>
      <w:r w:rsidRPr="00FA1FE1">
        <w:rPr>
          <w:rFonts w:cs="Arial"/>
          <w:szCs w:val="20"/>
          <w:lang w:val="sl-SI"/>
        </w:rPr>
        <w:t xml:space="preserve">Tudi za javne uslužbence, ki so se zaposlili po 1. juliju 2022 se višji regres za letni dopust nad višino sorazmernega dela minimalne plače obdavči. </w:t>
      </w:r>
    </w:p>
    <w:p w14:paraId="2142BA4A" w14:textId="7BB5F8D5" w:rsidR="00274DE3" w:rsidRPr="00FA1FE1" w:rsidRDefault="00274DE3" w:rsidP="0056051A">
      <w:pPr>
        <w:spacing w:before="100" w:beforeAutospacing="1" w:after="100" w:afterAutospacing="1" w:line="240" w:lineRule="exact"/>
        <w:jc w:val="both"/>
        <w:rPr>
          <w:rFonts w:cs="Arial"/>
          <w:szCs w:val="20"/>
          <w:lang w:val="sl-SI"/>
        </w:rPr>
      </w:pPr>
      <w:r w:rsidRPr="00FA1FE1">
        <w:rPr>
          <w:rFonts w:cs="Arial"/>
          <w:szCs w:val="20"/>
          <w:u w:val="single"/>
          <w:lang w:val="sl-SI"/>
        </w:rPr>
        <w:t>Primer:</w:t>
      </w:r>
      <w:r w:rsidRPr="00FA1FE1">
        <w:rPr>
          <w:rFonts w:cs="Arial"/>
          <w:szCs w:val="20"/>
          <w:lang w:val="sl-SI"/>
        </w:rPr>
        <w:t xml:space="preserve"> Če se je javni uslužbenec zaposlil 1. julija 2022 in se je uvrstil v 27. plačni razred, je upravičen do sorazmernega dela regresa za letni dopust v višini  537,22 eur v neobdavčeni višini, in do </w:t>
      </w:r>
      <w:r w:rsidR="00AD03DA">
        <w:rPr>
          <w:rFonts w:cs="Arial"/>
          <w:szCs w:val="20"/>
          <w:lang w:val="sl-SI"/>
        </w:rPr>
        <w:t xml:space="preserve">regresa v </w:t>
      </w:r>
      <w:r w:rsidRPr="00FA1FE1">
        <w:rPr>
          <w:rFonts w:cs="Arial"/>
          <w:szCs w:val="20"/>
          <w:lang w:val="sl-SI"/>
        </w:rPr>
        <w:t>višin</w:t>
      </w:r>
      <w:r w:rsidR="00AD03DA">
        <w:rPr>
          <w:rFonts w:cs="Arial"/>
          <w:szCs w:val="20"/>
          <w:lang w:val="sl-SI"/>
        </w:rPr>
        <w:t>i</w:t>
      </w:r>
      <w:r w:rsidRPr="00FA1FE1">
        <w:rPr>
          <w:rFonts w:cs="Arial"/>
          <w:szCs w:val="20"/>
          <w:lang w:val="sl-SI"/>
        </w:rPr>
        <w:t xml:space="preserve"> 125 eur neto, ki pa je obdavčen (za znesek 125 eur je treba določiti ustrezni bruto znesek regresa).</w:t>
      </w:r>
    </w:p>
    <w:p w14:paraId="3BF85AC7" w14:textId="1ADFE509" w:rsidR="0056051A" w:rsidRDefault="0056051A" w:rsidP="0056051A">
      <w:pPr>
        <w:spacing w:before="100" w:beforeAutospacing="1" w:after="100" w:afterAutospacing="1" w:line="240" w:lineRule="exact"/>
        <w:jc w:val="both"/>
        <w:rPr>
          <w:rFonts w:cs="Arial"/>
          <w:b/>
          <w:bCs/>
          <w:szCs w:val="20"/>
          <w:u w:val="single"/>
          <w:lang w:val="sl-SI"/>
        </w:rPr>
      </w:pPr>
      <w:r w:rsidRPr="00FA1FE1">
        <w:rPr>
          <w:rFonts w:cs="Arial"/>
          <w:szCs w:val="20"/>
          <w:lang w:val="sl-SI"/>
        </w:rPr>
        <w:t xml:space="preserve">Po Uredbi o enotni metodologiji in obrazcih za obračun in izplačilo plač v javnem sektorju </w:t>
      </w:r>
      <w:r w:rsidR="00274DE3" w:rsidRPr="00FA1FE1">
        <w:rPr>
          <w:rFonts w:cs="Arial"/>
          <w:szCs w:val="20"/>
          <w:lang w:val="sl-SI"/>
        </w:rPr>
        <w:t>se</w:t>
      </w:r>
      <w:r w:rsidRPr="00FA1FE1">
        <w:rPr>
          <w:rFonts w:cs="Arial"/>
          <w:szCs w:val="20"/>
          <w:lang w:val="sl-SI"/>
        </w:rPr>
        <w:t xml:space="preserve"> pri izplačilu </w:t>
      </w:r>
      <w:r w:rsidR="00274DE3" w:rsidRPr="00FA1FE1">
        <w:rPr>
          <w:rFonts w:cs="Arial"/>
          <w:szCs w:val="20"/>
          <w:lang w:val="sl-SI"/>
        </w:rPr>
        <w:t>razlike v</w:t>
      </w:r>
      <w:r w:rsidRPr="00FA1FE1">
        <w:rPr>
          <w:rFonts w:cs="Arial"/>
          <w:szCs w:val="20"/>
          <w:lang w:val="sl-SI"/>
        </w:rPr>
        <w:t xml:space="preserve"> regres</w:t>
      </w:r>
      <w:r w:rsidR="00274DE3" w:rsidRPr="00FA1FE1">
        <w:rPr>
          <w:rFonts w:cs="Arial"/>
          <w:szCs w:val="20"/>
          <w:lang w:val="sl-SI"/>
        </w:rPr>
        <w:t>u</w:t>
      </w:r>
      <w:r w:rsidRPr="00FA1FE1">
        <w:rPr>
          <w:rFonts w:cs="Arial"/>
          <w:szCs w:val="20"/>
          <w:lang w:val="sl-SI"/>
        </w:rPr>
        <w:t xml:space="preserve"> uporabi šifr</w:t>
      </w:r>
      <w:r w:rsidR="00E8281C" w:rsidRPr="00FA1FE1">
        <w:rPr>
          <w:rFonts w:cs="Arial"/>
          <w:szCs w:val="20"/>
          <w:lang w:val="sl-SI"/>
        </w:rPr>
        <w:t>a</w:t>
      </w:r>
      <w:r w:rsidRPr="00FA1FE1">
        <w:rPr>
          <w:rFonts w:cs="Arial"/>
          <w:szCs w:val="20"/>
          <w:lang w:val="sl-SI"/>
        </w:rPr>
        <w:t xml:space="preserve"> </w:t>
      </w:r>
      <w:r w:rsidRPr="00FA1FE1">
        <w:rPr>
          <w:rFonts w:cs="Arial"/>
          <w:b/>
          <w:bCs/>
          <w:szCs w:val="20"/>
          <w:u w:val="single"/>
          <w:lang w:val="sl-SI"/>
        </w:rPr>
        <w:t>J091</w:t>
      </w:r>
      <w:r w:rsidR="00E8281C" w:rsidRPr="00FA1FE1">
        <w:rPr>
          <w:rFonts w:cs="Arial"/>
          <w:b/>
          <w:bCs/>
          <w:szCs w:val="20"/>
          <w:u w:val="single"/>
          <w:lang w:val="sl-SI"/>
        </w:rPr>
        <w:t>.</w:t>
      </w:r>
    </w:p>
    <w:p w14:paraId="1A625187" w14:textId="48DE77EB" w:rsidR="00A17ACF" w:rsidRDefault="00A17ACF" w:rsidP="0056051A">
      <w:pPr>
        <w:spacing w:before="100" w:beforeAutospacing="1" w:after="100" w:afterAutospacing="1" w:line="240" w:lineRule="exact"/>
        <w:jc w:val="both"/>
        <w:rPr>
          <w:rFonts w:cs="Arial"/>
          <w:b/>
          <w:bCs/>
          <w:szCs w:val="20"/>
          <w:u w:val="single"/>
          <w:lang w:val="sl-SI"/>
        </w:rPr>
      </w:pPr>
    </w:p>
    <w:p w14:paraId="19AB3DFA" w14:textId="77777777" w:rsidR="00A17ACF" w:rsidRPr="00FA1FE1" w:rsidRDefault="00A17ACF" w:rsidP="0056051A">
      <w:pPr>
        <w:spacing w:before="100" w:beforeAutospacing="1" w:after="100" w:afterAutospacing="1" w:line="240" w:lineRule="exact"/>
        <w:jc w:val="both"/>
        <w:rPr>
          <w:rFonts w:cs="Arial"/>
          <w:szCs w:val="20"/>
          <w:lang w:val="sl-SI"/>
        </w:rPr>
      </w:pPr>
    </w:p>
    <w:p w14:paraId="5A821547" w14:textId="65F200EC" w:rsidR="00557704" w:rsidRPr="00FA1FE1" w:rsidRDefault="00640EE7" w:rsidP="00557704">
      <w:pPr>
        <w:spacing w:line="240" w:lineRule="atLeast"/>
        <w:jc w:val="both"/>
        <w:rPr>
          <w:rFonts w:cs="Arial"/>
          <w:b/>
          <w:bCs/>
          <w:szCs w:val="20"/>
          <w:lang w:val="sl-SI"/>
        </w:rPr>
      </w:pPr>
      <w:r w:rsidRPr="00FA1FE1">
        <w:rPr>
          <w:rFonts w:cs="Arial"/>
          <w:b/>
          <w:bCs/>
          <w:szCs w:val="20"/>
          <w:lang w:val="sl-SI"/>
        </w:rPr>
        <w:lastRenderedPageBreak/>
        <w:t>5</w:t>
      </w:r>
      <w:r w:rsidR="00557704" w:rsidRPr="00FA1FE1">
        <w:rPr>
          <w:rFonts w:cs="Arial"/>
          <w:b/>
          <w:bCs/>
          <w:szCs w:val="20"/>
          <w:lang w:val="sl-SI"/>
        </w:rPr>
        <w:t xml:space="preserve">. </w:t>
      </w:r>
      <w:r w:rsidR="004104B8" w:rsidRPr="00FA1FE1">
        <w:rPr>
          <w:rFonts w:cs="Arial"/>
          <w:b/>
          <w:bCs/>
          <w:szCs w:val="20"/>
          <w:lang w:val="sl-SI"/>
        </w:rPr>
        <w:t>Regres za prehrano</w:t>
      </w:r>
    </w:p>
    <w:p w14:paraId="473161D8" w14:textId="28F8EEBB" w:rsidR="004104B8" w:rsidRPr="00FA1FE1" w:rsidRDefault="004104B8" w:rsidP="00636190">
      <w:pPr>
        <w:spacing w:before="100" w:beforeAutospacing="1" w:after="100" w:afterAutospacing="1" w:line="240" w:lineRule="exact"/>
        <w:jc w:val="both"/>
        <w:rPr>
          <w:rFonts w:cs="Arial"/>
          <w:b/>
          <w:bCs/>
          <w:szCs w:val="20"/>
          <w:u w:val="single"/>
          <w:lang w:val="sl-SI"/>
        </w:rPr>
      </w:pPr>
      <w:r w:rsidRPr="00FA1FE1">
        <w:rPr>
          <w:rFonts w:cs="Arial"/>
          <w:szCs w:val="20"/>
          <w:lang w:val="sl-SI"/>
        </w:rPr>
        <w:t xml:space="preserve">Skladno z Dogovorom se je regres za prehrano v </w:t>
      </w:r>
      <w:r w:rsidR="00274DE3" w:rsidRPr="00FA1FE1">
        <w:rPr>
          <w:rFonts w:cs="Arial"/>
          <w:szCs w:val="20"/>
          <w:lang w:val="sl-SI"/>
        </w:rPr>
        <w:t xml:space="preserve">Aneksu h </w:t>
      </w:r>
      <w:r w:rsidRPr="00FA1FE1">
        <w:rPr>
          <w:rFonts w:cs="Arial"/>
          <w:szCs w:val="20"/>
          <w:lang w:val="sl-SI"/>
        </w:rPr>
        <w:t>KPND in aneksih h kolektivni</w:t>
      </w:r>
      <w:r w:rsidR="0033131A">
        <w:rPr>
          <w:rFonts w:cs="Arial"/>
          <w:szCs w:val="20"/>
          <w:lang w:val="sl-SI"/>
        </w:rPr>
        <w:t xml:space="preserve">m </w:t>
      </w:r>
      <w:r w:rsidRPr="00FA1FE1">
        <w:rPr>
          <w:rFonts w:cs="Arial"/>
          <w:szCs w:val="20"/>
          <w:lang w:val="sl-SI"/>
        </w:rPr>
        <w:t xml:space="preserve">pogodbam dejavnosti in poklicev določil </w:t>
      </w:r>
      <w:r w:rsidRPr="00FA1FE1">
        <w:rPr>
          <w:rFonts w:cs="Arial"/>
          <w:b/>
          <w:bCs/>
          <w:szCs w:val="20"/>
          <w:u w:val="single"/>
          <w:lang w:val="sl-SI"/>
        </w:rPr>
        <w:t>v višini 6,15 eura.</w:t>
      </w:r>
    </w:p>
    <w:p w14:paraId="4C838771" w14:textId="7FC4794D" w:rsidR="004104B8" w:rsidRPr="00FA1FE1" w:rsidRDefault="004104B8" w:rsidP="004104B8">
      <w:pPr>
        <w:jc w:val="both"/>
        <w:rPr>
          <w:rFonts w:cs="Arial"/>
          <w:szCs w:val="20"/>
          <w:lang w:val="sl-SI"/>
        </w:rPr>
      </w:pPr>
      <w:r w:rsidRPr="00FA1FE1">
        <w:rPr>
          <w:rFonts w:cs="Arial"/>
          <w:szCs w:val="20"/>
          <w:lang w:val="sl-SI"/>
        </w:rPr>
        <w:t xml:space="preserve">V aneksih je določeno tudi, da se znesek regresa za prehrano med delom usklajuje vsakih šest mesecev z rastjo cen </w:t>
      </w:r>
      <w:proofErr w:type="spellStart"/>
      <w:r w:rsidRPr="00FA1FE1">
        <w:rPr>
          <w:rFonts w:cs="Arial"/>
          <w:szCs w:val="20"/>
          <w:lang w:val="sl-SI"/>
        </w:rPr>
        <w:t>prehrambenih</w:t>
      </w:r>
      <w:proofErr w:type="spellEnd"/>
      <w:r w:rsidRPr="00FA1FE1">
        <w:rPr>
          <w:rFonts w:cs="Arial"/>
          <w:szCs w:val="20"/>
          <w:lang w:val="sl-SI"/>
        </w:rPr>
        <w:t xml:space="preserve"> izdelkov na podlagi podatkov Statističnega urada Republike Slovenije in da se usklajen znesek objavi na spletni strani Ministrstva za javno upravo.</w:t>
      </w:r>
    </w:p>
    <w:p w14:paraId="3A2094FA" w14:textId="77777777" w:rsidR="004104B8" w:rsidRPr="00FA1FE1" w:rsidRDefault="004104B8" w:rsidP="004104B8">
      <w:pPr>
        <w:jc w:val="both"/>
        <w:rPr>
          <w:rFonts w:cs="Arial"/>
          <w:szCs w:val="20"/>
          <w:lang w:val="sl-SI"/>
        </w:rPr>
      </w:pPr>
    </w:p>
    <w:p w14:paraId="6CEFCA12" w14:textId="1DAB5BBD" w:rsidR="004104B8" w:rsidRPr="000A3A9B" w:rsidRDefault="004104B8" w:rsidP="004104B8">
      <w:pPr>
        <w:jc w:val="both"/>
        <w:rPr>
          <w:rFonts w:cs="Arial"/>
          <w:szCs w:val="20"/>
          <w:lang w:val="sl-SI"/>
        </w:rPr>
      </w:pPr>
      <w:r w:rsidRPr="00FA1FE1">
        <w:rPr>
          <w:rFonts w:cs="Arial"/>
          <w:szCs w:val="20"/>
          <w:lang w:val="sl-SI"/>
        </w:rPr>
        <w:t xml:space="preserve">Prva uskladitev višine regresa za prehrano med delom po uveljavitvi tega aneksa se bo izvedla s 1. januarjem 2023. </w:t>
      </w:r>
    </w:p>
    <w:p w14:paraId="51EB2924" w14:textId="013464FD" w:rsidR="004104B8" w:rsidRPr="000A3A9B" w:rsidRDefault="00CC3E25" w:rsidP="004104B8">
      <w:pPr>
        <w:jc w:val="both"/>
        <w:rPr>
          <w:rFonts w:cs="Arial"/>
          <w:szCs w:val="20"/>
          <w:lang w:val="sl-SI"/>
        </w:rPr>
      </w:pPr>
      <w:r>
        <w:rPr>
          <w:rFonts w:cs="Arial"/>
          <w:szCs w:val="20"/>
          <w:lang w:val="sl-SI"/>
        </w:rPr>
        <w:t xml:space="preserve"> </w:t>
      </w:r>
    </w:p>
    <w:p w14:paraId="0AA50F4B" w14:textId="2997C612" w:rsidR="004104B8" w:rsidRPr="00FA1FE1" w:rsidRDefault="004104B8" w:rsidP="004104B8">
      <w:pPr>
        <w:jc w:val="both"/>
        <w:rPr>
          <w:rFonts w:cs="Arial"/>
          <w:szCs w:val="20"/>
          <w:lang w:val="sl-SI"/>
        </w:rPr>
      </w:pPr>
      <w:r w:rsidRPr="00FA1FE1">
        <w:rPr>
          <w:rFonts w:cs="Arial"/>
          <w:szCs w:val="20"/>
          <w:lang w:val="sl-SI"/>
        </w:rPr>
        <w:t>Javnim uslužbencem se pri plači za oktober (izplačilo v novembru 2022) izplača regres za prehrano v višini 6,15 € za mesec oktober 2022</w:t>
      </w:r>
      <w:r w:rsidR="00274DE3" w:rsidRPr="00FA1FE1">
        <w:rPr>
          <w:rFonts w:cs="Arial"/>
          <w:szCs w:val="20"/>
          <w:lang w:val="sl-SI"/>
        </w:rPr>
        <w:t>.</w:t>
      </w:r>
    </w:p>
    <w:p w14:paraId="33A87F4A" w14:textId="77777777" w:rsidR="004104B8" w:rsidRPr="00FA1FE1" w:rsidRDefault="004104B8" w:rsidP="004104B8">
      <w:pPr>
        <w:jc w:val="both"/>
        <w:rPr>
          <w:rFonts w:cs="Arial"/>
          <w:szCs w:val="20"/>
          <w:lang w:val="sl-SI"/>
        </w:rPr>
      </w:pPr>
    </w:p>
    <w:p w14:paraId="7FDED5E7" w14:textId="4DC2809F" w:rsidR="00FE55FB" w:rsidRPr="00FE55FB" w:rsidRDefault="004104B8" w:rsidP="00FE55FB">
      <w:pPr>
        <w:jc w:val="both"/>
        <w:rPr>
          <w:rFonts w:cs="Arial"/>
          <w:szCs w:val="20"/>
          <w:lang w:val="sl-SI"/>
        </w:rPr>
      </w:pPr>
      <w:r w:rsidRPr="00FA1FE1">
        <w:rPr>
          <w:rFonts w:cs="Arial"/>
          <w:szCs w:val="20"/>
          <w:lang w:val="sl-SI"/>
        </w:rPr>
        <w:t>Hkrati se javnim uslužbencem za september 2022 izplača razlika regresa za prehrano do višine 6,15 eur (razlika med 6,15 eur in 4,94 eur). Ta razlika se izplača pri plači za oktober 2022 (izplačilo v novembru 2022).</w:t>
      </w:r>
      <w:r w:rsidR="00FE55FB">
        <w:rPr>
          <w:rFonts w:cs="Arial"/>
          <w:szCs w:val="20"/>
          <w:lang w:val="sl-SI"/>
        </w:rPr>
        <w:t xml:space="preserve"> </w:t>
      </w:r>
      <w:r w:rsidR="00FE55FB" w:rsidRPr="00FE55FB">
        <w:rPr>
          <w:lang w:val="sl-SI"/>
        </w:rPr>
        <w:t>Pri poračunu regresa za prehrano za</w:t>
      </w:r>
      <w:r w:rsidR="00FE55FB">
        <w:rPr>
          <w:lang w:val="sl-SI"/>
        </w:rPr>
        <w:t xml:space="preserve"> september </w:t>
      </w:r>
      <w:r w:rsidR="00636190">
        <w:rPr>
          <w:lang w:val="sl-SI"/>
        </w:rPr>
        <w:t xml:space="preserve">2022 </w:t>
      </w:r>
      <w:r w:rsidR="00FE55FB" w:rsidRPr="00FE55FB">
        <w:rPr>
          <w:lang w:val="sl-SI"/>
        </w:rPr>
        <w:t>se na REK obrazcu uporabi šifra izplačila 1190</w:t>
      </w:r>
      <w:r w:rsidR="006B5123">
        <w:rPr>
          <w:lang w:val="sl-SI"/>
        </w:rPr>
        <w:t>, lahko pa se poroča tudi pri tekoči plači tako, da se v polju B04 Povračila stroškov prehrane vpiše skupen znesek izplačanega povračila</w:t>
      </w:r>
      <w:r w:rsidR="00FE55FB" w:rsidRPr="00FE55FB">
        <w:rPr>
          <w:lang w:val="sl-SI"/>
        </w:rPr>
        <w:t>.</w:t>
      </w:r>
    </w:p>
    <w:p w14:paraId="66D93C63" w14:textId="2D240C73" w:rsidR="004104B8" w:rsidRPr="00FA1FE1" w:rsidRDefault="004104B8" w:rsidP="004104B8">
      <w:pPr>
        <w:pStyle w:val="len"/>
        <w:rPr>
          <w:rFonts w:ascii="Arial" w:hAnsi="Arial" w:cs="Arial"/>
          <w:sz w:val="20"/>
          <w:szCs w:val="20"/>
        </w:rPr>
      </w:pPr>
      <w:r w:rsidRPr="00FA1FE1">
        <w:rPr>
          <w:rFonts w:ascii="Arial" w:hAnsi="Arial" w:cs="Arial"/>
          <w:sz w:val="20"/>
          <w:szCs w:val="20"/>
        </w:rPr>
        <w:t>Ostale določbe aneksov, ki so bili objavljeni v Uradnem listu RS, št. 88/21</w:t>
      </w:r>
      <w:r w:rsidR="00274DE3" w:rsidRPr="00FA1FE1">
        <w:rPr>
          <w:rFonts w:ascii="Arial" w:hAnsi="Arial" w:cs="Arial"/>
          <w:sz w:val="20"/>
          <w:szCs w:val="20"/>
        </w:rPr>
        <w:t>,</w:t>
      </w:r>
      <w:r w:rsidRPr="00FA1FE1">
        <w:rPr>
          <w:rFonts w:ascii="Arial" w:hAnsi="Arial" w:cs="Arial"/>
          <w:sz w:val="20"/>
          <w:szCs w:val="20"/>
        </w:rPr>
        <w:t xml:space="preserve"> se glede regresa za prehrano ne spreminjajo.</w:t>
      </w:r>
    </w:p>
    <w:p w14:paraId="79840EF7" w14:textId="377B4F62" w:rsidR="002F69C8" w:rsidRPr="00FA1FE1" w:rsidRDefault="001C0F79" w:rsidP="002F69C8">
      <w:pPr>
        <w:pStyle w:val="len"/>
        <w:rPr>
          <w:rFonts w:ascii="Arial" w:hAnsi="Arial" w:cs="Arial"/>
          <w:b/>
          <w:bCs/>
          <w:sz w:val="20"/>
          <w:szCs w:val="20"/>
        </w:rPr>
      </w:pPr>
      <w:r w:rsidRPr="00FA1FE1">
        <w:rPr>
          <w:rFonts w:ascii="Arial" w:hAnsi="Arial" w:cs="Arial"/>
          <w:b/>
          <w:bCs/>
          <w:sz w:val="20"/>
          <w:szCs w:val="20"/>
        </w:rPr>
        <w:t xml:space="preserve">6. </w:t>
      </w:r>
      <w:r w:rsidR="002F69C8" w:rsidRPr="00FA1FE1">
        <w:rPr>
          <w:rFonts w:ascii="Arial" w:hAnsi="Arial" w:cs="Arial"/>
          <w:b/>
          <w:bCs/>
          <w:sz w:val="20"/>
          <w:szCs w:val="20"/>
        </w:rPr>
        <w:t>Dnevnica za službeno potovanje v Republiki Sloveniji</w:t>
      </w:r>
    </w:p>
    <w:p w14:paraId="71A59B72" w14:textId="430DE3E2" w:rsidR="002F69C8" w:rsidRPr="00FA1FE1" w:rsidRDefault="002F69C8" w:rsidP="00FA1FE1">
      <w:pPr>
        <w:pStyle w:val="len"/>
        <w:jc w:val="both"/>
        <w:rPr>
          <w:rFonts w:ascii="Arial" w:hAnsi="Arial" w:cs="Arial"/>
          <w:sz w:val="20"/>
          <w:szCs w:val="20"/>
        </w:rPr>
      </w:pPr>
      <w:r w:rsidRPr="00FA1FE1">
        <w:rPr>
          <w:rFonts w:ascii="Arial" w:hAnsi="Arial" w:cs="Arial"/>
          <w:sz w:val="20"/>
          <w:szCs w:val="20"/>
        </w:rPr>
        <w:t>V aneksu h KPND in aneksih h kolektivnim pogodbam dejavnosti in poklicev se spreminja tudi višina dnevnice za službeno potovanje v državi, ki traja od 6 do vključno 8 ur. Višina je določena v enakem znesku kot višina regresa za prehrano, torej 6,15 EUR.</w:t>
      </w:r>
    </w:p>
    <w:p w14:paraId="23717BC8" w14:textId="02F003E3" w:rsidR="001C0F79" w:rsidRPr="00FA1FE1" w:rsidRDefault="001C0F79" w:rsidP="00FA1FE1">
      <w:pPr>
        <w:spacing w:line="240" w:lineRule="auto"/>
        <w:jc w:val="both"/>
        <w:rPr>
          <w:rFonts w:cs="Arial"/>
          <w:szCs w:val="20"/>
          <w:lang w:val="sl-SI" w:eastAsia="sl-SI"/>
        </w:rPr>
      </w:pPr>
      <w:r w:rsidRPr="00FA1FE1">
        <w:rPr>
          <w:rFonts w:cs="Arial"/>
          <w:szCs w:val="20"/>
          <w:lang w:val="sl-SI" w:eastAsia="sl-SI"/>
        </w:rPr>
        <w:t>D</w:t>
      </w:r>
      <w:r w:rsidRPr="001C0F79">
        <w:rPr>
          <w:rFonts w:cs="Arial"/>
          <w:szCs w:val="20"/>
          <w:lang w:val="sl-SI" w:eastAsia="sl-SI"/>
        </w:rPr>
        <w:t>nevnic</w:t>
      </w:r>
      <w:r w:rsidRPr="00FA1FE1">
        <w:rPr>
          <w:rFonts w:cs="Arial"/>
          <w:szCs w:val="20"/>
          <w:lang w:val="sl-SI" w:eastAsia="sl-SI"/>
        </w:rPr>
        <w:t>a</w:t>
      </w:r>
      <w:r w:rsidRPr="001C0F79">
        <w:rPr>
          <w:rFonts w:cs="Arial"/>
          <w:szCs w:val="20"/>
          <w:lang w:val="sl-SI" w:eastAsia="sl-SI"/>
        </w:rPr>
        <w:t xml:space="preserve"> za službeno potovanje v državi, ki traja</w:t>
      </w:r>
      <w:r w:rsidR="00FA1FE1">
        <w:rPr>
          <w:rFonts w:cs="Arial"/>
          <w:szCs w:val="20"/>
          <w:lang w:val="sl-SI" w:eastAsia="sl-SI"/>
        </w:rPr>
        <w:t xml:space="preserve"> </w:t>
      </w:r>
      <w:r w:rsidRPr="001C0F79">
        <w:rPr>
          <w:rFonts w:cs="Arial"/>
          <w:szCs w:val="20"/>
          <w:lang w:val="sl-SI" w:eastAsia="sl-SI"/>
        </w:rPr>
        <w:t>nad 12 ur</w:t>
      </w:r>
      <w:r w:rsidRPr="00FA1FE1">
        <w:rPr>
          <w:rFonts w:cs="Arial"/>
          <w:szCs w:val="20"/>
          <w:lang w:val="sl-SI" w:eastAsia="sl-SI"/>
        </w:rPr>
        <w:t xml:space="preserve"> se ne spreminja in znaša 22,44 evra</w:t>
      </w:r>
      <w:r w:rsidR="00FA1FE1">
        <w:rPr>
          <w:rFonts w:cs="Arial"/>
          <w:szCs w:val="20"/>
          <w:lang w:val="sl-SI" w:eastAsia="sl-SI"/>
        </w:rPr>
        <w:t xml:space="preserve">. Prav tako se ne spreminja dnevnica </w:t>
      </w:r>
      <w:r w:rsidRPr="001C0F79">
        <w:rPr>
          <w:rFonts w:cs="Arial"/>
          <w:szCs w:val="20"/>
          <w:lang w:val="sl-SI" w:eastAsia="sl-SI"/>
        </w:rPr>
        <w:t>nad 8 do vključno 12 ur</w:t>
      </w:r>
      <w:r w:rsidRPr="00FA1FE1">
        <w:rPr>
          <w:rFonts w:cs="Arial"/>
          <w:szCs w:val="20"/>
          <w:lang w:val="sl-SI" w:eastAsia="sl-SI"/>
        </w:rPr>
        <w:t xml:space="preserve"> in</w:t>
      </w:r>
      <w:r w:rsidRPr="001C0F79">
        <w:rPr>
          <w:rFonts w:cs="Arial"/>
          <w:szCs w:val="20"/>
          <w:lang w:val="sl-SI" w:eastAsia="sl-SI"/>
        </w:rPr>
        <w:t xml:space="preserve"> </w:t>
      </w:r>
      <w:r w:rsidRPr="00FA1FE1">
        <w:rPr>
          <w:rFonts w:cs="Arial"/>
          <w:szCs w:val="20"/>
          <w:lang w:val="sl-SI" w:eastAsia="sl-SI"/>
        </w:rPr>
        <w:t>znaša 11,20 evra</w:t>
      </w:r>
      <w:r w:rsidR="00FA1FE1">
        <w:rPr>
          <w:rFonts w:cs="Arial"/>
          <w:szCs w:val="20"/>
          <w:lang w:val="sl-SI" w:eastAsia="sl-SI"/>
        </w:rPr>
        <w:t>.</w:t>
      </w:r>
      <w:r w:rsidRPr="001C0F79">
        <w:rPr>
          <w:rFonts w:cs="Arial"/>
          <w:szCs w:val="20"/>
          <w:lang w:val="sl-SI" w:eastAsia="sl-SI"/>
        </w:rPr>
        <w:t xml:space="preserve"> </w:t>
      </w:r>
    </w:p>
    <w:p w14:paraId="4B88F98D" w14:textId="60DA63B2" w:rsidR="001C0F79" w:rsidRPr="00FA1FE1" w:rsidRDefault="001C0F79" w:rsidP="00FA1FE1">
      <w:pPr>
        <w:spacing w:line="240" w:lineRule="auto"/>
        <w:jc w:val="both"/>
        <w:rPr>
          <w:rFonts w:cs="Arial"/>
          <w:szCs w:val="20"/>
          <w:lang w:val="sl-SI" w:eastAsia="sl-SI"/>
        </w:rPr>
      </w:pPr>
    </w:p>
    <w:p w14:paraId="55187E48" w14:textId="7289EB9D" w:rsidR="001C0F79" w:rsidRPr="00FA1FE1" w:rsidRDefault="001C0F79" w:rsidP="00FA1FE1">
      <w:pPr>
        <w:spacing w:line="240" w:lineRule="auto"/>
        <w:jc w:val="both"/>
        <w:rPr>
          <w:rFonts w:cs="Arial"/>
          <w:szCs w:val="20"/>
          <w:lang w:val="sl-SI" w:eastAsia="sl-SI"/>
        </w:rPr>
      </w:pPr>
      <w:r w:rsidRPr="00FA1FE1">
        <w:rPr>
          <w:rFonts w:cs="Arial"/>
          <w:szCs w:val="20"/>
          <w:lang w:val="sl-SI" w:eastAsia="sl-SI"/>
        </w:rPr>
        <w:t>Višja dnevnica z</w:t>
      </w:r>
      <w:r w:rsidRPr="001C0F79">
        <w:rPr>
          <w:rFonts w:cs="Arial"/>
          <w:szCs w:val="20"/>
          <w:lang w:val="sl-SI" w:eastAsia="sl-SI"/>
        </w:rPr>
        <w:t xml:space="preserve">a službeno potovanje v državi, </w:t>
      </w:r>
      <w:r w:rsidRPr="00FA1FE1">
        <w:rPr>
          <w:rFonts w:cs="Arial"/>
          <w:szCs w:val="20"/>
          <w:lang w:val="sl-SI" w:eastAsia="sl-SI"/>
        </w:rPr>
        <w:t>ki traja od 6 do vključno 8 ur</w:t>
      </w:r>
      <w:r w:rsidR="003C241F">
        <w:rPr>
          <w:rFonts w:cs="Arial"/>
          <w:szCs w:val="20"/>
          <w:lang w:val="sl-SI" w:eastAsia="sl-SI"/>
        </w:rPr>
        <w:t>,</w:t>
      </w:r>
      <w:r w:rsidRPr="00FA1FE1">
        <w:rPr>
          <w:rFonts w:cs="Arial"/>
          <w:szCs w:val="20"/>
          <w:lang w:val="sl-SI" w:eastAsia="sl-SI"/>
        </w:rPr>
        <w:t xml:space="preserve"> se izplača </w:t>
      </w:r>
      <w:r w:rsidR="003C241F">
        <w:rPr>
          <w:rFonts w:cs="Arial"/>
          <w:szCs w:val="20"/>
          <w:lang w:val="sl-SI" w:eastAsia="sl-SI"/>
        </w:rPr>
        <w:t>p</w:t>
      </w:r>
      <w:r w:rsidR="002F69C8" w:rsidRPr="00FA1FE1">
        <w:rPr>
          <w:rFonts w:cs="Arial"/>
          <w:szCs w:val="20"/>
          <w:lang w:val="sl-SI" w:eastAsia="sl-SI"/>
        </w:rPr>
        <w:t>ri plači za oktober 2022</w:t>
      </w:r>
      <w:r w:rsidRPr="00FA1FE1">
        <w:rPr>
          <w:rFonts w:cs="Arial"/>
          <w:szCs w:val="20"/>
          <w:lang w:val="sl-SI" w:eastAsia="sl-SI"/>
        </w:rPr>
        <w:t xml:space="preserve"> (</w:t>
      </w:r>
      <w:r w:rsidR="002F69C8" w:rsidRPr="00FA1FE1">
        <w:rPr>
          <w:rFonts w:cs="Arial"/>
          <w:szCs w:val="20"/>
          <w:lang w:val="sl-SI" w:eastAsia="sl-SI"/>
        </w:rPr>
        <w:t>izplačilo v novembru 2022</w:t>
      </w:r>
      <w:r w:rsidRPr="00FA1FE1">
        <w:rPr>
          <w:rFonts w:cs="Arial"/>
          <w:szCs w:val="20"/>
          <w:lang w:val="sl-SI" w:eastAsia="sl-SI"/>
        </w:rPr>
        <w:t xml:space="preserve">), torej velja sprememba za vse službene poti, ki so bile opravljene v mesecu </w:t>
      </w:r>
      <w:r w:rsidR="003C241F" w:rsidRPr="00FA1FE1">
        <w:rPr>
          <w:rFonts w:cs="Arial"/>
          <w:szCs w:val="20"/>
          <w:lang w:val="sl-SI" w:eastAsia="sl-SI"/>
        </w:rPr>
        <w:t>oktobru</w:t>
      </w:r>
      <w:r w:rsidRPr="00FA1FE1">
        <w:rPr>
          <w:rFonts w:cs="Arial"/>
          <w:szCs w:val="20"/>
          <w:lang w:val="sl-SI" w:eastAsia="sl-SI"/>
        </w:rPr>
        <w:t xml:space="preserve"> 2022</w:t>
      </w:r>
      <w:r w:rsidR="003C241F">
        <w:rPr>
          <w:rFonts w:cs="Arial"/>
          <w:szCs w:val="20"/>
          <w:lang w:val="sl-SI" w:eastAsia="sl-SI"/>
        </w:rPr>
        <w:t>. Višja višina dnevnice pa</w:t>
      </w:r>
      <w:r w:rsidRPr="00FA1FE1">
        <w:rPr>
          <w:rFonts w:cs="Arial"/>
          <w:szCs w:val="20"/>
          <w:lang w:val="sl-SI" w:eastAsia="sl-SI"/>
        </w:rPr>
        <w:t xml:space="preserve"> ne </w:t>
      </w:r>
      <w:r w:rsidR="003C241F">
        <w:rPr>
          <w:rFonts w:cs="Arial"/>
          <w:szCs w:val="20"/>
          <w:lang w:val="sl-SI" w:eastAsia="sl-SI"/>
        </w:rPr>
        <w:t>velja</w:t>
      </w:r>
      <w:r w:rsidRPr="00FA1FE1">
        <w:rPr>
          <w:rFonts w:cs="Arial"/>
          <w:szCs w:val="20"/>
          <w:lang w:val="sl-SI" w:eastAsia="sl-SI"/>
        </w:rPr>
        <w:t xml:space="preserve"> za službene poti</w:t>
      </w:r>
      <w:r w:rsidR="003C241F">
        <w:rPr>
          <w:rFonts w:cs="Arial"/>
          <w:szCs w:val="20"/>
          <w:lang w:val="sl-SI" w:eastAsia="sl-SI"/>
        </w:rPr>
        <w:t>,</w:t>
      </w:r>
      <w:r w:rsidRPr="00FA1FE1">
        <w:rPr>
          <w:rFonts w:cs="Arial"/>
          <w:szCs w:val="20"/>
          <w:lang w:val="sl-SI" w:eastAsia="sl-SI"/>
        </w:rPr>
        <w:t xml:space="preserve"> ki so bile opravljene v septembru 2022.</w:t>
      </w:r>
    </w:p>
    <w:p w14:paraId="05F2F9FF" w14:textId="6D12E4E0" w:rsidR="002F69C8" w:rsidRPr="00FA1FE1" w:rsidRDefault="002F69C8" w:rsidP="00FA1FE1">
      <w:pPr>
        <w:pStyle w:val="len"/>
        <w:jc w:val="both"/>
        <w:rPr>
          <w:rFonts w:ascii="Arial" w:hAnsi="Arial" w:cs="Arial"/>
          <w:sz w:val="20"/>
          <w:szCs w:val="20"/>
        </w:rPr>
      </w:pPr>
      <w:r w:rsidRPr="00FA1FE1">
        <w:rPr>
          <w:rFonts w:ascii="Arial" w:hAnsi="Arial" w:cs="Arial"/>
          <w:sz w:val="20"/>
          <w:szCs w:val="20"/>
        </w:rPr>
        <w:t>Ostale določbe aneksov</w:t>
      </w:r>
      <w:r w:rsidR="007E1668">
        <w:rPr>
          <w:rFonts w:ascii="Arial" w:hAnsi="Arial" w:cs="Arial"/>
          <w:sz w:val="20"/>
          <w:szCs w:val="20"/>
        </w:rPr>
        <w:t>, ki so bili objavljeni v</w:t>
      </w:r>
      <w:r w:rsidRPr="00FA1FE1">
        <w:rPr>
          <w:rFonts w:ascii="Arial" w:hAnsi="Arial" w:cs="Arial"/>
          <w:sz w:val="20"/>
          <w:szCs w:val="20"/>
        </w:rPr>
        <w:t xml:space="preserve"> </w:t>
      </w:r>
      <w:r w:rsidR="001C0F79" w:rsidRPr="00FA1FE1">
        <w:rPr>
          <w:rFonts w:ascii="Arial" w:hAnsi="Arial" w:cs="Arial"/>
          <w:sz w:val="20"/>
          <w:szCs w:val="20"/>
        </w:rPr>
        <w:t>Uradnem listu RS, št. 88/21</w:t>
      </w:r>
      <w:r w:rsidR="0023209A">
        <w:rPr>
          <w:rFonts w:ascii="Arial" w:hAnsi="Arial" w:cs="Arial"/>
          <w:sz w:val="20"/>
          <w:szCs w:val="20"/>
        </w:rPr>
        <w:t>,</w:t>
      </w:r>
      <w:r w:rsidR="001C0F79" w:rsidRPr="00FA1FE1">
        <w:rPr>
          <w:rFonts w:ascii="Arial" w:hAnsi="Arial" w:cs="Arial"/>
          <w:sz w:val="20"/>
          <w:szCs w:val="20"/>
        </w:rPr>
        <w:t xml:space="preserve"> se glede dnevnic za službeno potovanje v Republiki </w:t>
      </w:r>
      <w:r w:rsidR="00FA1FE1" w:rsidRPr="00FA1FE1">
        <w:rPr>
          <w:rFonts w:ascii="Arial" w:hAnsi="Arial" w:cs="Arial"/>
          <w:sz w:val="20"/>
          <w:szCs w:val="20"/>
        </w:rPr>
        <w:t>Sloveniji</w:t>
      </w:r>
      <w:r w:rsidR="001C0F79" w:rsidRPr="00FA1FE1">
        <w:rPr>
          <w:rFonts w:ascii="Arial" w:hAnsi="Arial" w:cs="Arial"/>
          <w:sz w:val="20"/>
          <w:szCs w:val="20"/>
        </w:rPr>
        <w:t xml:space="preserve"> ne spreminjajo. Še vedno velja</w:t>
      </w:r>
      <w:r w:rsidR="007E1668" w:rsidRPr="007E1668">
        <w:rPr>
          <w:rFonts w:ascii="Arial" w:hAnsi="Arial" w:cs="Arial"/>
          <w:sz w:val="20"/>
          <w:szCs w:val="20"/>
        </w:rPr>
        <w:t xml:space="preserve"> </w:t>
      </w:r>
      <w:r w:rsidR="007E1668" w:rsidRPr="00FA1FE1">
        <w:rPr>
          <w:rFonts w:ascii="Arial" w:hAnsi="Arial" w:cs="Arial"/>
          <w:sz w:val="20"/>
          <w:szCs w:val="20"/>
        </w:rPr>
        <w:t>tudi</w:t>
      </w:r>
      <w:r w:rsidR="001C0F79" w:rsidRPr="00FA1FE1">
        <w:rPr>
          <w:rFonts w:ascii="Arial" w:hAnsi="Arial" w:cs="Arial"/>
          <w:sz w:val="20"/>
          <w:szCs w:val="20"/>
        </w:rPr>
        <w:t>, da se bodo z</w:t>
      </w:r>
      <w:r w:rsidRPr="00FA1FE1">
        <w:rPr>
          <w:rFonts w:ascii="Arial" w:hAnsi="Arial" w:cs="Arial"/>
          <w:sz w:val="20"/>
          <w:szCs w:val="20"/>
        </w:rPr>
        <w:t xml:space="preserve">neski dnevnic za službena potovanja v državi, </w:t>
      </w:r>
      <w:r w:rsidR="00FA1FE1" w:rsidRPr="00FA1FE1">
        <w:rPr>
          <w:rFonts w:ascii="Arial" w:hAnsi="Arial" w:cs="Arial"/>
          <w:sz w:val="20"/>
          <w:szCs w:val="20"/>
        </w:rPr>
        <w:t>uskladil</w:t>
      </w:r>
      <w:r w:rsidR="007E1668">
        <w:rPr>
          <w:rFonts w:ascii="Arial" w:hAnsi="Arial" w:cs="Arial"/>
          <w:sz w:val="20"/>
          <w:szCs w:val="20"/>
        </w:rPr>
        <w:t>i</w:t>
      </w:r>
      <w:r w:rsidRPr="00FA1FE1">
        <w:rPr>
          <w:rFonts w:ascii="Arial" w:hAnsi="Arial" w:cs="Arial"/>
          <w:sz w:val="20"/>
          <w:szCs w:val="20"/>
        </w:rPr>
        <w:t xml:space="preserve"> enkrat letno z rastjo cen življenjskih potrebščin. Za uskladitev se uporabi uradni podatek Statističnega urada Republike Slovenije o medletni rasti cen življenjskih potrebščin decembra preteklega leta glede na december predpreteklega leta. Uskladitev zneskov se izvede januarja za tekoče koledarsko leto.</w:t>
      </w:r>
      <w:r w:rsidR="001C0F79" w:rsidRPr="00FA1FE1">
        <w:rPr>
          <w:rFonts w:ascii="Arial" w:hAnsi="Arial" w:cs="Arial"/>
          <w:sz w:val="20"/>
          <w:szCs w:val="20"/>
        </w:rPr>
        <w:t xml:space="preserve"> Usklajeni zneski se bodo </w:t>
      </w:r>
      <w:r w:rsidR="007E1668" w:rsidRPr="00FA1FE1">
        <w:rPr>
          <w:rFonts w:ascii="Arial" w:hAnsi="Arial" w:cs="Arial"/>
          <w:sz w:val="20"/>
          <w:szCs w:val="20"/>
        </w:rPr>
        <w:t>objavili</w:t>
      </w:r>
      <w:r w:rsidR="001C0F79" w:rsidRPr="00FA1FE1">
        <w:rPr>
          <w:rFonts w:ascii="Arial" w:hAnsi="Arial" w:cs="Arial"/>
          <w:sz w:val="20"/>
          <w:szCs w:val="20"/>
        </w:rPr>
        <w:t xml:space="preserve"> </w:t>
      </w:r>
      <w:r w:rsidRPr="00FA1FE1">
        <w:rPr>
          <w:rFonts w:ascii="Arial" w:hAnsi="Arial" w:cs="Arial"/>
          <w:sz w:val="20"/>
          <w:szCs w:val="20"/>
        </w:rPr>
        <w:t>na spletni strani MJU</w:t>
      </w:r>
      <w:r w:rsidR="007E1668">
        <w:rPr>
          <w:rFonts w:ascii="Arial" w:hAnsi="Arial" w:cs="Arial"/>
          <w:sz w:val="20"/>
          <w:szCs w:val="20"/>
        </w:rPr>
        <w:t xml:space="preserve"> 1. januarja 2023</w:t>
      </w:r>
      <w:r w:rsidRPr="00FA1FE1">
        <w:rPr>
          <w:rFonts w:ascii="Arial" w:hAnsi="Arial" w:cs="Arial"/>
          <w:sz w:val="20"/>
          <w:szCs w:val="20"/>
        </w:rPr>
        <w:t>.</w:t>
      </w:r>
    </w:p>
    <w:p w14:paraId="25663EC1" w14:textId="03C76C41" w:rsidR="001C0F79" w:rsidRPr="00FA1FE1" w:rsidRDefault="001C0F79" w:rsidP="001C0F79">
      <w:pPr>
        <w:spacing w:line="240" w:lineRule="atLeast"/>
        <w:jc w:val="both"/>
        <w:rPr>
          <w:rFonts w:cs="Arial"/>
          <w:b/>
          <w:bCs/>
          <w:szCs w:val="20"/>
          <w:lang w:val="sl-SI"/>
        </w:rPr>
      </w:pPr>
      <w:r w:rsidRPr="00FA1FE1">
        <w:rPr>
          <w:rFonts w:cs="Arial"/>
          <w:b/>
          <w:bCs/>
          <w:szCs w:val="20"/>
          <w:lang w:val="sl-SI"/>
        </w:rPr>
        <w:t>7. Povišanje uvrstitev delovnih mest in nazivov ter vrednosti nominalnih osnov za delo v tujini</w:t>
      </w:r>
    </w:p>
    <w:p w14:paraId="4C673574" w14:textId="3DA8391C" w:rsidR="000C1003" w:rsidRPr="00FA1FE1" w:rsidRDefault="001C0F79" w:rsidP="001C0F79">
      <w:pPr>
        <w:spacing w:before="100" w:beforeAutospacing="1" w:after="100" w:afterAutospacing="1" w:line="240" w:lineRule="exact"/>
        <w:jc w:val="both"/>
        <w:rPr>
          <w:rFonts w:cs="Arial"/>
          <w:szCs w:val="20"/>
          <w:lang w:val="sl-SI"/>
        </w:rPr>
      </w:pPr>
      <w:r w:rsidRPr="00FA1FE1">
        <w:rPr>
          <w:rFonts w:cs="Arial"/>
          <w:szCs w:val="20"/>
          <w:lang w:val="sl-SI"/>
        </w:rPr>
        <w:t xml:space="preserve">Zaradi realizacije zaveze iz Dogovora po dvigu uvrstitev </w:t>
      </w:r>
      <w:r w:rsidR="000C1003" w:rsidRPr="00FA1FE1">
        <w:rPr>
          <w:rFonts w:cs="Arial"/>
          <w:szCs w:val="20"/>
          <w:lang w:val="sl-SI"/>
        </w:rPr>
        <w:t>delovnih mest in nazivov za en plačni razred</w:t>
      </w:r>
      <w:r w:rsidRPr="00FA1FE1">
        <w:rPr>
          <w:rFonts w:cs="Arial"/>
          <w:szCs w:val="20"/>
          <w:lang w:val="sl-SI"/>
        </w:rPr>
        <w:t xml:space="preserve"> </w:t>
      </w:r>
      <w:r w:rsidR="000C1003" w:rsidRPr="00FA1FE1">
        <w:rPr>
          <w:rFonts w:cs="Arial"/>
          <w:szCs w:val="20"/>
          <w:lang w:val="sl-SI"/>
        </w:rPr>
        <w:t>so bile v</w:t>
      </w:r>
      <w:r w:rsidRPr="00FA1FE1">
        <w:rPr>
          <w:rFonts w:cs="Arial"/>
          <w:szCs w:val="20"/>
          <w:lang w:val="sl-SI"/>
        </w:rPr>
        <w:t xml:space="preserve"> Aneks</w:t>
      </w:r>
      <w:r w:rsidR="000C1003" w:rsidRPr="00FA1FE1">
        <w:rPr>
          <w:rFonts w:cs="Arial"/>
          <w:szCs w:val="20"/>
          <w:lang w:val="sl-SI"/>
        </w:rPr>
        <w:t>u</w:t>
      </w:r>
      <w:r w:rsidRPr="00FA1FE1">
        <w:rPr>
          <w:rFonts w:cs="Arial"/>
          <w:szCs w:val="20"/>
          <w:lang w:val="sl-SI"/>
        </w:rPr>
        <w:t xml:space="preserve"> št. 13 h Kolektivni pogodbi za javni sektor </w:t>
      </w:r>
      <w:r w:rsidR="000C1003" w:rsidRPr="00FA1FE1">
        <w:rPr>
          <w:rFonts w:cs="Arial"/>
          <w:szCs w:val="20"/>
          <w:lang w:val="sl-SI"/>
        </w:rPr>
        <w:t>določene višje</w:t>
      </w:r>
      <w:r w:rsidRPr="00FA1FE1">
        <w:rPr>
          <w:rFonts w:cs="Arial"/>
          <w:szCs w:val="20"/>
          <w:lang w:val="sl-SI"/>
        </w:rPr>
        <w:t xml:space="preserve"> uvrstitve </w:t>
      </w:r>
      <w:r w:rsidR="000C1003" w:rsidRPr="00FA1FE1">
        <w:rPr>
          <w:rFonts w:cs="Arial"/>
          <w:szCs w:val="20"/>
          <w:lang w:val="sl-SI"/>
        </w:rPr>
        <w:t xml:space="preserve">orientacijskih delovnih mest. Prav tako so bile v </w:t>
      </w:r>
      <w:r w:rsidRPr="00FA1FE1">
        <w:rPr>
          <w:rFonts w:cs="Arial"/>
          <w:szCs w:val="20"/>
          <w:lang w:val="sl-SI"/>
        </w:rPr>
        <w:t>aneksi</w:t>
      </w:r>
      <w:r w:rsidR="000C1003" w:rsidRPr="00FA1FE1">
        <w:rPr>
          <w:rFonts w:cs="Arial"/>
          <w:szCs w:val="20"/>
          <w:lang w:val="sl-SI"/>
        </w:rPr>
        <w:t>h</w:t>
      </w:r>
      <w:r w:rsidRPr="00FA1FE1">
        <w:rPr>
          <w:rFonts w:cs="Arial"/>
          <w:szCs w:val="20"/>
          <w:lang w:val="sl-SI"/>
        </w:rPr>
        <w:t xml:space="preserve"> h kolektivnim pogodbam dejavnosti in poklicev</w:t>
      </w:r>
      <w:r w:rsidR="000C1003" w:rsidRPr="00FA1FE1">
        <w:rPr>
          <w:rFonts w:cs="Arial"/>
          <w:szCs w:val="20"/>
          <w:lang w:val="sl-SI"/>
        </w:rPr>
        <w:t xml:space="preserve">, ki so bili objavljeni v </w:t>
      </w:r>
      <w:r w:rsidR="000C1003" w:rsidRPr="00FA1FE1">
        <w:rPr>
          <w:rFonts w:cs="Arial"/>
          <w:szCs w:val="20"/>
          <w:lang w:val="sl-SI" w:eastAsia="sl-SI"/>
        </w:rPr>
        <w:t xml:space="preserve">Uradnem listu RS, št. 136/22, dne 25. 10. 2022 </w:t>
      </w:r>
      <w:r w:rsidR="000C1003" w:rsidRPr="00FA1FE1">
        <w:rPr>
          <w:rFonts w:cs="Arial"/>
          <w:szCs w:val="20"/>
          <w:lang w:val="sl-SI"/>
        </w:rPr>
        <w:t xml:space="preserve">določene </w:t>
      </w:r>
      <w:r w:rsidRPr="00FA1FE1">
        <w:rPr>
          <w:rFonts w:cs="Arial"/>
          <w:szCs w:val="20"/>
          <w:lang w:val="sl-SI"/>
        </w:rPr>
        <w:t xml:space="preserve">višje uvrstitve </w:t>
      </w:r>
      <w:r w:rsidR="000C1003" w:rsidRPr="00FA1FE1">
        <w:rPr>
          <w:rFonts w:cs="Arial"/>
          <w:szCs w:val="20"/>
          <w:lang w:val="sl-SI"/>
        </w:rPr>
        <w:t>delovnih mest in nazivov.</w:t>
      </w:r>
    </w:p>
    <w:p w14:paraId="7B8B3CE1" w14:textId="7B251888" w:rsidR="000C1003" w:rsidRPr="00F97C7B" w:rsidRDefault="000C1003" w:rsidP="000C1003">
      <w:pPr>
        <w:jc w:val="both"/>
        <w:rPr>
          <w:rFonts w:cs="Arial"/>
          <w:szCs w:val="20"/>
          <w:lang w:val="sl-SI"/>
        </w:rPr>
      </w:pPr>
      <w:r w:rsidRPr="00FA1FE1">
        <w:rPr>
          <w:rFonts w:cs="Arial"/>
          <w:szCs w:val="20"/>
          <w:lang w:val="sl-SI"/>
        </w:rPr>
        <w:lastRenderedPageBreak/>
        <w:t xml:space="preserve">Izjema velja za tista obstoječa ali </w:t>
      </w:r>
      <w:r w:rsidRPr="00F97C7B">
        <w:rPr>
          <w:rFonts w:cs="Arial"/>
          <w:szCs w:val="20"/>
          <w:lang w:val="sl-SI"/>
        </w:rPr>
        <w:t xml:space="preserve">na novo določena delovna mesta, ki so bila uvrščena v višji plačni razred z Aneksom h Kolektivni pogodbi za dejavnost zdravstva in socialnega varstva Slovenije (Uradni list RS, št. </w:t>
      </w:r>
      <w:hyperlink r:id="rId41" w:tgtFrame="_blank" w:tooltip="Aneks h Kolektivni pogodbi za dejavnost zdravstva in socialnega varstva Slovenije" w:history="1">
        <w:r w:rsidRPr="00F97C7B">
          <w:rPr>
            <w:rFonts w:cs="Arial"/>
            <w:szCs w:val="20"/>
            <w:lang w:val="sl-SI"/>
          </w:rPr>
          <w:t>181/21</w:t>
        </w:r>
      </w:hyperlink>
      <w:r w:rsidRPr="00F97C7B">
        <w:rPr>
          <w:rFonts w:cs="Arial"/>
          <w:szCs w:val="20"/>
          <w:lang w:val="sl-SI"/>
        </w:rPr>
        <w:t xml:space="preserve"> z dne 19. 11. 2021) in Aneksom h Kolektivni pogodbi za zaposlene v zdravstveni negi (Uradni list RS, št. </w:t>
      </w:r>
      <w:hyperlink r:id="rId42" w:tgtFrame="_blank" w:tooltip="Aneks h Kolektivni pogodbi za dejavnost zdravstva in socialnega varstva Slovenije" w:history="1">
        <w:r w:rsidRPr="00F97C7B">
          <w:rPr>
            <w:rFonts w:cs="Arial"/>
            <w:szCs w:val="20"/>
            <w:lang w:val="sl-SI"/>
          </w:rPr>
          <w:t>181/21</w:t>
        </w:r>
      </w:hyperlink>
      <w:r w:rsidRPr="00F97C7B">
        <w:rPr>
          <w:rFonts w:cs="Arial"/>
          <w:szCs w:val="20"/>
          <w:lang w:val="sl-SI"/>
        </w:rPr>
        <w:t xml:space="preserve"> z dne 19. 11. 2021). </w:t>
      </w:r>
    </w:p>
    <w:p w14:paraId="787709E1" w14:textId="6CA20E80" w:rsidR="001C0F79" w:rsidRPr="00FA1FE1" w:rsidRDefault="000C1003" w:rsidP="001C0F79">
      <w:pPr>
        <w:spacing w:before="100" w:beforeAutospacing="1" w:after="100" w:afterAutospacing="1" w:line="240" w:lineRule="exact"/>
        <w:jc w:val="both"/>
        <w:rPr>
          <w:rFonts w:cs="Arial"/>
          <w:szCs w:val="20"/>
          <w:lang w:val="sl-SI"/>
        </w:rPr>
      </w:pPr>
      <w:r w:rsidRPr="00FA1FE1">
        <w:rPr>
          <w:rFonts w:cs="Arial"/>
          <w:szCs w:val="20"/>
          <w:lang w:val="sl-SI"/>
        </w:rPr>
        <w:t>Višje uvrstitve iz Aneksa št. 13 h KPJS in aneksov h kolektivnim pogodbam dejavnosti in poklicev se začnejo uporabljati</w:t>
      </w:r>
      <w:r w:rsidR="001C0F79" w:rsidRPr="00FA1FE1">
        <w:rPr>
          <w:rFonts w:cs="Arial"/>
          <w:szCs w:val="20"/>
          <w:lang w:val="sl-SI"/>
        </w:rPr>
        <w:t xml:space="preserve"> </w:t>
      </w:r>
      <w:r w:rsidR="001C0F79" w:rsidRPr="00FA1FE1">
        <w:rPr>
          <w:rFonts w:cs="Arial"/>
          <w:b/>
          <w:bCs/>
          <w:szCs w:val="20"/>
          <w:u w:val="single"/>
          <w:lang w:val="sl-SI"/>
        </w:rPr>
        <w:t>1. aprila 2023</w:t>
      </w:r>
      <w:r w:rsidR="001C0F79" w:rsidRPr="00FA1FE1">
        <w:rPr>
          <w:rFonts w:cs="Arial"/>
          <w:szCs w:val="20"/>
          <w:lang w:val="sl-SI"/>
        </w:rPr>
        <w:t xml:space="preserve">, do takrat se uporabljajo obstoječe uvrstitve. </w:t>
      </w:r>
    </w:p>
    <w:p w14:paraId="20163549" w14:textId="7092F60D" w:rsidR="001C0F79" w:rsidRPr="00FA1FE1" w:rsidRDefault="00F97C7B" w:rsidP="001C0F79">
      <w:pPr>
        <w:jc w:val="both"/>
        <w:rPr>
          <w:rFonts w:cs="Arial"/>
          <w:szCs w:val="20"/>
          <w:lang w:val="sl-SI"/>
        </w:rPr>
      </w:pPr>
      <w:r>
        <w:rPr>
          <w:rFonts w:cs="Arial"/>
          <w:szCs w:val="20"/>
          <w:lang w:val="sl-SI"/>
        </w:rPr>
        <w:t>Hkrati iz Dogovora izhaja, da se v</w:t>
      </w:r>
      <w:r w:rsidR="001C0F79" w:rsidRPr="00FA1FE1">
        <w:rPr>
          <w:rFonts w:cs="Arial"/>
          <w:szCs w:val="20"/>
          <w:lang w:val="sl-SI"/>
        </w:rPr>
        <w:t>rednost</w:t>
      </w:r>
      <w:r>
        <w:rPr>
          <w:rFonts w:cs="Arial"/>
          <w:szCs w:val="20"/>
          <w:lang w:val="sl-SI"/>
        </w:rPr>
        <w:t>i</w:t>
      </w:r>
      <w:r w:rsidR="001C0F79" w:rsidRPr="00FA1FE1">
        <w:rPr>
          <w:rFonts w:cs="Arial"/>
          <w:szCs w:val="20"/>
          <w:lang w:val="sl-SI"/>
        </w:rPr>
        <w:t xml:space="preserve"> nominalnih osnov za delo v tujini poviša</w:t>
      </w:r>
      <w:r>
        <w:rPr>
          <w:rFonts w:cs="Arial"/>
          <w:szCs w:val="20"/>
          <w:lang w:val="sl-SI"/>
        </w:rPr>
        <w:t>jo</w:t>
      </w:r>
      <w:r w:rsidR="001C0F79" w:rsidRPr="00FA1FE1">
        <w:rPr>
          <w:rFonts w:cs="Arial"/>
          <w:szCs w:val="20"/>
          <w:lang w:val="sl-SI"/>
        </w:rPr>
        <w:t xml:space="preserve"> za 4 %. </w:t>
      </w:r>
      <w:r w:rsidR="00C12AC1">
        <w:rPr>
          <w:rFonts w:cs="Arial"/>
          <w:szCs w:val="20"/>
          <w:lang w:val="sl-SI"/>
        </w:rPr>
        <w:t xml:space="preserve">Navedeno povišanje se bo uredilo s spremembo </w:t>
      </w:r>
      <w:r w:rsidR="001C0F79" w:rsidRPr="00FA1FE1">
        <w:rPr>
          <w:rFonts w:cs="Arial"/>
          <w:szCs w:val="20"/>
          <w:lang w:val="sl-SI"/>
        </w:rPr>
        <w:t>Uredbe o plačah in drugih prejemkih javnih uslužbencev za delo v tujini in Uredbe o plačah in drugih prejemkih pripadnikov Slovenske vojske pri izvajanju obveznosti, prevzetih v mednarodnih organizacijah oziroma z mednarodnimi pogodbami</w:t>
      </w:r>
      <w:r w:rsidR="000C1003" w:rsidRPr="00FA1FE1">
        <w:rPr>
          <w:rFonts w:cs="Arial"/>
          <w:szCs w:val="20"/>
          <w:lang w:val="sl-SI"/>
        </w:rPr>
        <w:t>.</w:t>
      </w:r>
      <w:r>
        <w:rPr>
          <w:rFonts w:cs="Arial"/>
          <w:szCs w:val="20"/>
          <w:lang w:val="sl-SI"/>
        </w:rPr>
        <w:t xml:space="preserve"> Te višje nominalne vrednosti se bodo začele uporabljati 1. aprila 2023.</w:t>
      </w:r>
    </w:p>
    <w:p w14:paraId="201BBDD4" w14:textId="74B71E36" w:rsidR="000C1003" w:rsidRPr="00FA1FE1" w:rsidRDefault="000C1003" w:rsidP="00877382">
      <w:pPr>
        <w:spacing w:before="100" w:beforeAutospacing="1" w:after="100" w:afterAutospacing="1" w:line="240" w:lineRule="exact"/>
        <w:jc w:val="both"/>
        <w:rPr>
          <w:rFonts w:cs="Arial"/>
          <w:szCs w:val="20"/>
          <w:lang w:val="sl-SI"/>
        </w:rPr>
      </w:pPr>
      <w:r w:rsidRPr="00FA1FE1">
        <w:rPr>
          <w:rFonts w:cs="Arial"/>
          <w:szCs w:val="20"/>
          <w:lang w:val="sl-SI"/>
        </w:rPr>
        <w:t>Zaradi povišanja uvrstitev bodo spremenjene</w:t>
      </w:r>
      <w:r w:rsidR="001C0F79" w:rsidRPr="00FA1FE1">
        <w:rPr>
          <w:rFonts w:cs="Arial"/>
          <w:szCs w:val="20"/>
          <w:lang w:val="sl-SI"/>
        </w:rPr>
        <w:t xml:space="preserve"> tudi Uredba o plačah direktorjev v javnem sektorju, pravilni</w:t>
      </w:r>
      <w:r w:rsidRPr="00FA1FE1">
        <w:rPr>
          <w:rFonts w:cs="Arial"/>
          <w:szCs w:val="20"/>
          <w:lang w:val="sl-SI"/>
        </w:rPr>
        <w:t>ki</w:t>
      </w:r>
      <w:r w:rsidR="001C0F79" w:rsidRPr="00FA1FE1">
        <w:rPr>
          <w:rFonts w:cs="Arial"/>
          <w:szCs w:val="20"/>
          <w:lang w:val="sl-SI"/>
        </w:rPr>
        <w:t xml:space="preserve"> o uvrstitvah delovnih mest direktorjev,</w:t>
      </w:r>
      <w:r w:rsidRPr="00FA1FE1">
        <w:rPr>
          <w:rFonts w:cs="Arial"/>
          <w:szCs w:val="20"/>
          <w:lang w:val="sl-SI"/>
        </w:rPr>
        <w:t xml:space="preserve"> </w:t>
      </w:r>
      <w:r w:rsidR="001C0F79" w:rsidRPr="00FA1FE1">
        <w:rPr>
          <w:rFonts w:cs="Arial"/>
          <w:szCs w:val="20"/>
          <w:lang w:val="sl-SI"/>
        </w:rPr>
        <w:t>Uredb</w:t>
      </w:r>
      <w:r w:rsidRPr="00FA1FE1">
        <w:rPr>
          <w:rFonts w:cs="Arial"/>
          <w:szCs w:val="20"/>
          <w:lang w:val="sl-SI"/>
        </w:rPr>
        <w:t>a</w:t>
      </w:r>
      <w:r w:rsidR="001C0F79" w:rsidRPr="00FA1FE1">
        <w:rPr>
          <w:rFonts w:cs="Arial"/>
          <w:szCs w:val="20"/>
          <w:lang w:val="sl-SI"/>
        </w:rPr>
        <w:t xml:space="preserve"> o uvrstitvi formacijskih dolžnosti in nazivov v Slovenski vojski v plačne razrede, Uredb</w:t>
      </w:r>
      <w:r w:rsidRPr="00FA1FE1">
        <w:rPr>
          <w:rFonts w:cs="Arial"/>
          <w:szCs w:val="20"/>
          <w:lang w:val="sl-SI"/>
        </w:rPr>
        <w:t>a</w:t>
      </w:r>
      <w:r w:rsidR="001C0F79" w:rsidRPr="00FA1FE1">
        <w:rPr>
          <w:rFonts w:cs="Arial"/>
          <w:szCs w:val="20"/>
          <w:lang w:val="sl-SI"/>
        </w:rPr>
        <w:t xml:space="preserve"> o uvrstitvi delovnih mest v javnih agencijah, javnih skladih in javnih zavodih v plačne razrede in drugi akt</w:t>
      </w:r>
      <w:r w:rsidRPr="00FA1FE1">
        <w:rPr>
          <w:rFonts w:cs="Arial"/>
          <w:szCs w:val="20"/>
          <w:lang w:val="sl-SI"/>
        </w:rPr>
        <w:t>i</w:t>
      </w:r>
      <w:r w:rsidR="001C0F79" w:rsidRPr="00FA1FE1">
        <w:rPr>
          <w:rFonts w:cs="Arial"/>
          <w:szCs w:val="20"/>
          <w:lang w:val="sl-SI"/>
        </w:rPr>
        <w:t>, s katerimi se delovna mesta in nazivi uvrščajo v plačne razrede.</w:t>
      </w:r>
      <w:r w:rsidRPr="00FA1FE1">
        <w:rPr>
          <w:rFonts w:cs="Arial"/>
          <w:szCs w:val="20"/>
          <w:lang w:val="sl-SI"/>
        </w:rPr>
        <w:t xml:space="preserve"> O teh spremembah vas bomo obvestili po </w:t>
      </w:r>
      <w:r w:rsidR="00877382">
        <w:rPr>
          <w:rFonts w:cs="Arial"/>
          <w:szCs w:val="20"/>
          <w:lang w:val="sl-SI"/>
        </w:rPr>
        <w:t>uveljavitvi</w:t>
      </w:r>
      <w:r w:rsidRPr="00FA1FE1">
        <w:rPr>
          <w:rFonts w:cs="Arial"/>
          <w:szCs w:val="20"/>
          <w:lang w:val="sl-SI"/>
        </w:rPr>
        <w:t xml:space="preserve"> pravnih aktov, se bodo pa tudi višje uvrstitve na podlagi teh sprememb začele uporabljati 1. aprila 2023. </w:t>
      </w:r>
    </w:p>
    <w:p w14:paraId="158188B5" w14:textId="6F16AFC5" w:rsidR="001C0F79" w:rsidRPr="00FA1FE1" w:rsidRDefault="001C0F79" w:rsidP="00557704">
      <w:pPr>
        <w:spacing w:line="240" w:lineRule="atLeast"/>
        <w:jc w:val="both"/>
        <w:rPr>
          <w:rFonts w:cs="Arial"/>
          <w:szCs w:val="20"/>
          <w:lang w:val="sl-SI"/>
        </w:rPr>
      </w:pPr>
      <w:r w:rsidRPr="00FA1FE1">
        <w:rPr>
          <w:rFonts w:cs="Arial"/>
          <w:szCs w:val="20"/>
          <w:lang w:val="sl-SI"/>
        </w:rPr>
        <w:t xml:space="preserve">Pojasnila v zvezi s spremembami plač, povračil stroškov in prejemkov </w:t>
      </w:r>
      <w:r w:rsidRPr="00FA1FE1">
        <w:rPr>
          <w:rFonts w:cs="Arial"/>
          <w:b/>
          <w:bCs/>
          <w:szCs w:val="20"/>
          <w:u w:val="single"/>
          <w:lang w:val="sl-SI"/>
        </w:rPr>
        <w:t>funkcionarjem</w:t>
      </w:r>
      <w:r w:rsidRPr="00FA1FE1">
        <w:rPr>
          <w:rFonts w:cs="Arial"/>
          <w:szCs w:val="20"/>
          <w:lang w:val="sl-SI"/>
        </w:rPr>
        <w:t xml:space="preserve"> vam bomo posredovali, ko bo uveljavljena novela ZSPJS. </w:t>
      </w:r>
    </w:p>
    <w:p w14:paraId="4B773602" w14:textId="77777777" w:rsidR="00557704" w:rsidRPr="00FA1FE1" w:rsidRDefault="00557704" w:rsidP="00557704">
      <w:pPr>
        <w:spacing w:line="240" w:lineRule="atLeast"/>
        <w:jc w:val="both"/>
        <w:rPr>
          <w:rFonts w:cs="Arial"/>
          <w:szCs w:val="20"/>
          <w:lang w:val="sl-SI"/>
        </w:rPr>
      </w:pPr>
    </w:p>
    <w:p w14:paraId="7EA8113A" w14:textId="77777777" w:rsidR="00557704" w:rsidRPr="00FA1FE1" w:rsidRDefault="00557704" w:rsidP="00557704">
      <w:pPr>
        <w:tabs>
          <w:tab w:val="left" w:pos="1701"/>
        </w:tabs>
        <w:jc w:val="both"/>
        <w:rPr>
          <w:rFonts w:cs="Arial"/>
          <w:szCs w:val="20"/>
          <w:lang w:val="sl-SI" w:eastAsia="sl-SI"/>
        </w:rPr>
      </w:pPr>
      <w:r w:rsidRPr="00FA1FE1">
        <w:rPr>
          <w:rFonts w:cs="Arial"/>
          <w:szCs w:val="20"/>
          <w:lang w:val="sl-SI"/>
        </w:rPr>
        <w:t>Ministrstva prosimo, da s tem dopisom seznanite proračunske uporabnike iz vaše pristojnosti.</w:t>
      </w:r>
    </w:p>
    <w:p w14:paraId="10A9DB94" w14:textId="77777777" w:rsidR="00557704" w:rsidRPr="00FA1FE1" w:rsidRDefault="00557704" w:rsidP="00557704">
      <w:pPr>
        <w:rPr>
          <w:rFonts w:cs="Arial"/>
          <w:szCs w:val="20"/>
          <w:lang w:val="sl-SI" w:eastAsia="sl-SI"/>
        </w:rPr>
      </w:pPr>
    </w:p>
    <w:p w14:paraId="5F5979D5" w14:textId="52574F92" w:rsidR="00557704" w:rsidRPr="00FA1FE1" w:rsidRDefault="00557704" w:rsidP="00557704">
      <w:pPr>
        <w:spacing w:line="240" w:lineRule="exact"/>
        <w:rPr>
          <w:rFonts w:cs="Arial"/>
          <w:szCs w:val="20"/>
          <w:lang w:val="sl-SI"/>
        </w:rPr>
      </w:pPr>
    </w:p>
    <w:p w14:paraId="7A947CA3" w14:textId="77777777" w:rsidR="000C1003" w:rsidRPr="00FA1FE1" w:rsidRDefault="000C1003" w:rsidP="00557704">
      <w:pPr>
        <w:spacing w:line="240" w:lineRule="exact"/>
        <w:rPr>
          <w:rFonts w:cs="Arial"/>
          <w:szCs w:val="20"/>
          <w:lang w:val="sl-SI"/>
        </w:rPr>
      </w:pPr>
    </w:p>
    <w:p w14:paraId="06A3BBA5" w14:textId="77777777" w:rsidR="00557704" w:rsidRPr="00FA1FE1" w:rsidRDefault="00557704" w:rsidP="00557704">
      <w:pPr>
        <w:spacing w:line="240" w:lineRule="exact"/>
        <w:rPr>
          <w:rFonts w:cs="Arial"/>
          <w:szCs w:val="20"/>
          <w:lang w:val="sl-SI"/>
        </w:rPr>
      </w:pPr>
      <w:r w:rsidRPr="00FA1FE1">
        <w:rPr>
          <w:rFonts w:cs="Arial"/>
          <w:szCs w:val="20"/>
          <w:lang w:val="sl-SI"/>
        </w:rPr>
        <w:t>S spoštovanjem,</w:t>
      </w:r>
    </w:p>
    <w:p w14:paraId="5262658F" w14:textId="77777777" w:rsidR="00557704" w:rsidRPr="00FA1FE1" w:rsidRDefault="00557704" w:rsidP="00557704">
      <w:pPr>
        <w:spacing w:line="240" w:lineRule="exact"/>
        <w:rPr>
          <w:rFonts w:cs="Arial"/>
          <w:szCs w:val="20"/>
          <w:lang w:val="sl-SI"/>
        </w:rPr>
      </w:pPr>
    </w:p>
    <w:p w14:paraId="23DEF6C4" w14:textId="77777777" w:rsidR="00557704" w:rsidRPr="00FA1FE1" w:rsidRDefault="00557704" w:rsidP="00557704">
      <w:pPr>
        <w:spacing w:line="240" w:lineRule="exact"/>
        <w:rPr>
          <w:rFonts w:cs="Arial"/>
          <w:szCs w:val="20"/>
          <w:lang w:val="sl-SI"/>
        </w:rPr>
      </w:pPr>
    </w:p>
    <w:p w14:paraId="3BAD928C" w14:textId="66F94730" w:rsidR="00557704" w:rsidRPr="00FA1FE1" w:rsidRDefault="00557704" w:rsidP="00557704">
      <w:pPr>
        <w:pStyle w:val="Telobesedila2"/>
        <w:spacing w:after="0" w:line="260" w:lineRule="exact"/>
        <w:jc w:val="both"/>
        <w:rPr>
          <w:rFonts w:ascii="Arial" w:hAnsi="Arial" w:cs="Arial"/>
          <w:sz w:val="20"/>
          <w:szCs w:val="20"/>
        </w:rPr>
      </w:pP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r>
      <w:r w:rsidRPr="00FA1FE1">
        <w:rPr>
          <w:rFonts w:ascii="Arial" w:hAnsi="Arial" w:cs="Arial"/>
          <w:sz w:val="20"/>
          <w:szCs w:val="20"/>
        </w:rPr>
        <w:tab/>
        <w:t xml:space="preserve">                                 </w:t>
      </w:r>
      <w:r w:rsidR="004104B8" w:rsidRPr="00FA1FE1">
        <w:rPr>
          <w:rFonts w:ascii="Arial" w:hAnsi="Arial" w:cs="Arial"/>
          <w:sz w:val="20"/>
          <w:szCs w:val="20"/>
        </w:rPr>
        <w:t xml:space="preserve">Sanja </w:t>
      </w:r>
      <w:proofErr w:type="spellStart"/>
      <w:r w:rsidR="004104B8" w:rsidRPr="00FA1FE1">
        <w:rPr>
          <w:rFonts w:ascii="Arial" w:hAnsi="Arial" w:cs="Arial"/>
          <w:sz w:val="20"/>
          <w:szCs w:val="20"/>
        </w:rPr>
        <w:t>Ajanović</w:t>
      </w:r>
      <w:proofErr w:type="spellEnd"/>
      <w:r w:rsidR="004104B8" w:rsidRPr="00FA1FE1">
        <w:rPr>
          <w:rFonts w:ascii="Arial" w:hAnsi="Arial" w:cs="Arial"/>
          <w:sz w:val="20"/>
          <w:szCs w:val="20"/>
        </w:rPr>
        <w:t xml:space="preserve"> Hovnik</w:t>
      </w:r>
    </w:p>
    <w:p w14:paraId="0CDBDA6E" w14:textId="4164E0A4" w:rsidR="00557704" w:rsidRPr="00FA1FE1" w:rsidRDefault="00557704" w:rsidP="00557704">
      <w:pPr>
        <w:jc w:val="both"/>
        <w:rPr>
          <w:rFonts w:cs="Arial"/>
          <w:szCs w:val="20"/>
          <w:lang w:val="sl-SI"/>
        </w:rPr>
      </w:pPr>
      <w:r w:rsidRPr="00FA1FE1">
        <w:rPr>
          <w:rFonts w:cs="Arial"/>
          <w:szCs w:val="20"/>
          <w:lang w:val="sl-SI"/>
        </w:rPr>
        <w:t xml:space="preserve">                                                                                               </w:t>
      </w:r>
      <w:r w:rsidR="004104B8" w:rsidRPr="00FA1FE1">
        <w:rPr>
          <w:rFonts w:cs="Arial"/>
          <w:szCs w:val="20"/>
          <w:lang w:val="sl-SI"/>
        </w:rPr>
        <w:t xml:space="preserve">            ministrica</w:t>
      </w:r>
    </w:p>
    <w:p w14:paraId="69577212" w14:textId="77777777" w:rsidR="00557704" w:rsidRPr="00FA1FE1" w:rsidRDefault="00557704" w:rsidP="00557704">
      <w:pPr>
        <w:pStyle w:val="podpisi"/>
        <w:spacing w:line="240" w:lineRule="exact"/>
        <w:rPr>
          <w:rFonts w:cs="Arial"/>
          <w:szCs w:val="20"/>
          <w:lang w:val="sl-SI"/>
        </w:rPr>
      </w:pPr>
    </w:p>
    <w:p w14:paraId="5ABFFAA6" w14:textId="77777777" w:rsidR="00557704" w:rsidRPr="00FA1FE1" w:rsidRDefault="00557704" w:rsidP="00557704">
      <w:pPr>
        <w:pStyle w:val="podpisi"/>
        <w:spacing w:line="240" w:lineRule="exact"/>
        <w:rPr>
          <w:rFonts w:cs="Arial"/>
          <w:szCs w:val="20"/>
          <w:lang w:val="sl-SI"/>
        </w:rPr>
      </w:pPr>
    </w:p>
    <w:p w14:paraId="11FF918B" w14:textId="77777777" w:rsidR="00557704" w:rsidRPr="00FA1FE1" w:rsidRDefault="00557704" w:rsidP="00557704">
      <w:pPr>
        <w:pStyle w:val="podpisi"/>
        <w:spacing w:line="240" w:lineRule="exact"/>
        <w:rPr>
          <w:rFonts w:cs="Arial"/>
          <w:szCs w:val="20"/>
          <w:lang w:val="sl-SI"/>
        </w:rPr>
      </w:pPr>
    </w:p>
    <w:p w14:paraId="147F2FCE" w14:textId="77777777" w:rsidR="00557704" w:rsidRPr="00FA1FE1" w:rsidRDefault="00557704" w:rsidP="00557704">
      <w:pPr>
        <w:pStyle w:val="podpisi"/>
        <w:spacing w:line="240" w:lineRule="exact"/>
        <w:rPr>
          <w:rFonts w:cs="Arial"/>
          <w:szCs w:val="20"/>
          <w:lang w:val="sl-SI"/>
        </w:rPr>
      </w:pPr>
    </w:p>
    <w:p w14:paraId="6E59AF0D" w14:textId="77777777" w:rsidR="00557704" w:rsidRPr="00FA1FE1" w:rsidRDefault="00557704" w:rsidP="00557704">
      <w:pPr>
        <w:pStyle w:val="podpisi"/>
        <w:spacing w:line="240" w:lineRule="exact"/>
        <w:rPr>
          <w:rFonts w:cs="Arial"/>
          <w:szCs w:val="20"/>
          <w:lang w:val="sl-SI"/>
        </w:rPr>
      </w:pPr>
      <w:r w:rsidRPr="00FA1FE1">
        <w:rPr>
          <w:rFonts w:cs="Arial"/>
          <w:szCs w:val="20"/>
          <w:lang w:val="sl-SI"/>
        </w:rPr>
        <w:t xml:space="preserve">Poslano: </w:t>
      </w:r>
    </w:p>
    <w:p w14:paraId="019D6EED" w14:textId="77777777" w:rsidR="00557704" w:rsidRPr="00FA1FE1" w:rsidRDefault="00557704" w:rsidP="00557704">
      <w:pPr>
        <w:pStyle w:val="podpisi"/>
        <w:numPr>
          <w:ilvl w:val="0"/>
          <w:numId w:val="1"/>
        </w:numPr>
        <w:spacing w:line="240" w:lineRule="exact"/>
        <w:rPr>
          <w:rFonts w:cs="Arial"/>
          <w:szCs w:val="20"/>
          <w:lang w:val="sl-SI"/>
        </w:rPr>
      </w:pPr>
      <w:r w:rsidRPr="00FA1FE1">
        <w:rPr>
          <w:rFonts w:cs="Arial"/>
          <w:szCs w:val="20"/>
          <w:lang w:val="sl-SI"/>
        </w:rPr>
        <w:t>naslovnikom po elektronski pošti.</w:t>
      </w:r>
    </w:p>
    <w:p w14:paraId="76B5F190" w14:textId="77777777" w:rsidR="001A4B4E" w:rsidRPr="00FA1FE1" w:rsidRDefault="003551D6">
      <w:pPr>
        <w:rPr>
          <w:rFonts w:cs="Arial"/>
          <w:szCs w:val="20"/>
          <w:lang w:val="sl-SI"/>
        </w:rPr>
      </w:pPr>
    </w:p>
    <w:sectPr w:rsidR="001A4B4E" w:rsidRPr="00FA1FE1" w:rsidSect="00B14903">
      <w:headerReference w:type="default" r:id="rId43"/>
      <w:footerReference w:type="default" r:id="rId44"/>
      <w:headerReference w:type="first" r:id="rId45"/>
      <w:pgSz w:w="11900" w:h="16840" w:code="9"/>
      <w:pgMar w:top="1701" w:right="1701" w:bottom="1134" w:left="1701" w:header="102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27DC" w14:textId="77777777" w:rsidR="00C203E4" w:rsidRDefault="00C203E4" w:rsidP="001D39E2">
      <w:pPr>
        <w:spacing w:line="240" w:lineRule="auto"/>
      </w:pPr>
      <w:r>
        <w:separator/>
      </w:r>
    </w:p>
  </w:endnote>
  <w:endnote w:type="continuationSeparator" w:id="0">
    <w:p w14:paraId="6D828B12" w14:textId="77777777" w:rsidR="00C203E4" w:rsidRDefault="00C203E4" w:rsidP="001D3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89357"/>
      <w:docPartObj>
        <w:docPartGallery w:val="Page Numbers (Bottom of Page)"/>
        <w:docPartUnique/>
      </w:docPartObj>
    </w:sdtPr>
    <w:sdtEndPr/>
    <w:sdtContent>
      <w:p w14:paraId="78B4DE7A" w14:textId="222709A0" w:rsidR="00B14903" w:rsidRDefault="00D202ED">
        <w:pPr>
          <w:pStyle w:val="Noga"/>
          <w:jc w:val="right"/>
        </w:pPr>
        <w:r>
          <w:fldChar w:fldCharType="begin"/>
        </w:r>
        <w:r>
          <w:instrText>PAGE   \* MERGEFORMAT</w:instrText>
        </w:r>
        <w:r>
          <w:fldChar w:fldCharType="separate"/>
        </w:r>
        <w:r w:rsidR="00F71288" w:rsidRPr="00F71288">
          <w:rPr>
            <w:noProof/>
            <w:lang w:val="sl-SI"/>
          </w:rPr>
          <w:t>2</w:t>
        </w:r>
        <w:r>
          <w:fldChar w:fldCharType="end"/>
        </w:r>
      </w:p>
    </w:sdtContent>
  </w:sdt>
  <w:p w14:paraId="4DC7F60D" w14:textId="77777777" w:rsidR="00B14903" w:rsidRDefault="003551D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76F51" w14:textId="77777777" w:rsidR="00C203E4" w:rsidRDefault="00C203E4" w:rsidP="001D39E2">
      <w:pPr>
        <w:spacing w:line="240" w:lineRule="auto"/>
      </w:pPr>
      <w:r>
        <w:separator/>
      </w:r>
    </w:p>
  </w:footnote>
  <w:footnote w:type="continuationSeparator" w:id="0">
    <w:p w14:paraId="3A835B43" w14:textId="77777777" w:rsidR="00C203E4" w:rsidRDefault="00C203E4" w:rsidP="001D39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52E7A" w14:textId="77777777" w:rsidR="00B14903" w:rsidRPr="00110CBD" w:rsidRDefault="003551D6" w:rsidP="00B1490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CE1A" w14:textId="77777777" w:rsidR="00010E91" w:rsidRPr="00B76FBB" w:rsidRDefault="00010E91" w:rsidP="00010E91">
    <w:pPr>
      <w:tabs>
        <w:tab w:val="left" w:pos="5112"/>
      </w:tabs>
      <w:spacing w:before="120" w:line="240" w:lineRule="exact"/>
      <w:rPr>
        <w:rFonts w:cs="Arial"/>
        <w:sz w:val="16"/>
      </w:rPr>
    </w:pPr>
  </w:p>
  <w:p w14:paraId="0BF3ABC4" w14:textId="77777777" w:rsidR="00010E91" w:rsidRPr="00B76FBB" w:rsidRDefault="00010E91" w:rsidP="00010E91">
    <w:pPr>
      <w:tabs>
        <w:tab w:val="left" w:pos="5112"/>
      </w:tabs>
      <w:spacing w:before="120" w:line="240" w:lineRule="exact"/>
      <w:rPr>
        <w:rFonts w:cs="Arial"/>
        <w:sz w:val="16"/>
      </w:rPr>
    </w:pPr>
  </w:p>
  <w:p w14:paraId="1E113C79" w14:textId="77777777" w:rsidR="00010E91" w:rsidRPr="00B76FBB" w:rsidRDefault="00010E91" w:rsidP="00010E91">
    <w:pPr>
      <w:tabs>
        <w:tab w:val="left" w:pos="5112"/>
      </w:tabs>
      <w:spacing w:before="120" w:line="240" w:lineRule="exact"/>
      <w:rPr>
        <w:rFonts w:cs="Arial"/>
        <w:sz w:val="16"/>
      </w:rPr>
    </w:pPr>
  </w:p>
  <w:p w14:paraId="16499F43" w14:textId="63921EDC" w:rsidR="00010E91" w:rsidRPr="00010E91" w:rsidRDefault="00010E91" w:rsidP="00010E91">
    <w:pPr>
      <w:tabs>
        <w:tab w:val="left" w:pos="5112"/>
      </w:tabs>
      <w:spacing w:before="120" w:line="240" w:lineRule="exact"/>
      <w:rPr>
        <w:rFonts w:cs="Arial"/>
        <w:sz w:val="16"/>
        <w:lang w:val="it-IT"/>
      </w:rPr>
    </w:pPr>
    <w:r w:rsidRPr="000C1003">
      <w:rPr>
        <w:noProof/>
        <w:lang w:val="sl-SI" w:eastAsia="sl-SI"/>
      </w:rPr>
      <w:drawing>
        <wp:anchor distT="0" distB="0" distL="114300" distR="114300" simplePos="0" relativeHeight="251660288" behindDoc="1" locked="0" layoutInCell="1" allowOverlap="1" wp14:anchorId="7F8C5D9D" wp14:editId="46F0587B">
          <wp:simplePos x="0" y="0"/>
          <wp:positionH relativeFrom="page">
            <wp:posOffset>612140</wp:posOffset>
          </wp:positionH>
          <wp:positionV relativeFrom="page">
            <wp:posOffset>648335</wp:posOffset>
          </wp:positionV>
          <wp:extent cx="2348865" cy="529590"/>
          <wp:effectExtent l="0" t="0" r="0" b="0"/>
          <wp:wrapNone/>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JU DJ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1003">
      <w:rPr>
        <w:rFonts w:cs="Arial"/>
        <w:noProof/>
        <w:sz w:val="16"/>
        <w:lang w:val="sl-SI" w:eastAsia="sl-SI"/>
      </w:rPr>
      <mc:AlternateContent>
        <mc:Choice Requires="wps">
          <w:drawing>
            <wp:anchor distT="0" distB="0" distL="114300" distR="114300" simplePos="0" relativeHeight="251659264" behindDoc="0" locked="0" layoutInCell="0" allowOverlap="1" wp14:anchorId="0D7F37AF" wp14:editId="6487F59C">
              <wp:simplePos x="0" y="0"/>
              <wp:positionH relativeFrom="column">
                <wp:posOffset>-463550</wp:posOffset>
              </wp:positionH>
              <wp:positionV relativeFrom="page">
                <wp:posOffset>3600450</wp:posOffset>
              </wp:positionV>
              <wp:extent cx="215900" cy="0"/>
              <wp:effectExtent l="6985" t="9525" r="5715" b="9525"/>
              <wp:wrapNone/>
              <wp:docPr id="3"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0C339" id="_x0000_t32" coordsize="21600,21600" o:spt="32" o:oned="t" path="m,l21600,21600e" filled="f">
              <v:path arrowok="t" fillok="f" o:connecttype="none"/>
              <o:lock v:ext="edit" shapetype="t"/>
            </v:shapetype>
            <v:shape id="AutoShape 1" o:spid="_x0000_s1026" type="#_x0000_t32" alt="&quot;&quot;"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0C1003">
      <w:rPr>
        <w:rFonts w:cs="Arial"/>
        <w:sz w:val="16"/>
        <w:lang w:val="sl-SI"/>
      </w:rPr>
      <w:t>Tržaška cesta 21, 1000 Ljubljana</w:t>
    </w:r>
    <w:r w:rsidRPr="00010E91">
      <w:rPr>
        <w:rFonts w:cs="Arial"/>
        <w:sz w:val="16"/>
        <w:lang w:val="it-IT"/>
      </w:rPr>
      <w:tab/>
      <w:t xml:space="preserve">T: 01 478 </w:t>
    </w:r>
    <w:r>
      <w:rPr>
        <w:rFonts w:cs="Arial"/>
        <w:sz w:val="16"/>
        <w:lang w:val="it-IT"/>
      </w:rPr>
      <w:t>83 31</w:t>
    </w:r>
  </w:p>
  <w:p w14:paraId="216F94C0" w14:textId="77777777" w:rsidR="00010E91" w:rsidRPr="00010E91" w:rsidRDefault="00010E91" w:rsidP="00010E91">
    <w:pPr>
      <w:tabs>
        <w:tab w:val="left" w:pos="5112"/>
      </w:tabs>
      <w:spacing w:line="240" w:lineRule="exact"/>
      <w:rPr>
        <w:rFonts w:cs="Arial"/>
        <w:sz w:val="16"/>
        <w:lang w:val="it-IT"/>
      </w:rPr>
    </w:pPr>
    <w:r w:rsidRPr="00010E91">
      <w:rPr>
        <w:rFonts w:cs="Arial"/>
        <w:sz w:val="16"/>
        <w:lang w:val="it-IT"/>
      </w:rPr>
      <w:tab/>
      <w:t>E: gp.mju@gov.si</w:t>
    </w:r>
  </w:p>
  <w:p w14:paraId="50AA4132" w14:textId="77777777" w:rsidR="00010E91" w:rsidRPr="00B76FBB" w:rsidRDefault="00010E91" w:rsidP="00010E91">
    <w:pPr>
      <w:tabs>
        <w:tab w:val="left" w:pos="5112"/>
      </w:tabs>
      <w:spacing w:line="240" w:lineRule="exact"/>
      <w:rPr>
        <w:rFonts w:cs="Arial"/>
        <w:sz w:val="16"/>
      </w:rPr>
    </w:pPr>
    <w:r w:rsidRPr="00010E91">
      <w:rPr>
        <w:rFonts w:cs="Arial"/>
        <w:sz w:val="16"/>
        <w:lang w:val="it-IT"/>
      </w:rPr>
      <w:tab/>
    </w:r>
    <w:r w:rsidRPr="00B76FBB">
      <w:rPr>
        <w:rFonts w:cs="Arial"/>
        <w:sz w:val="16"/>
      </w:rPr>
      <w:t>www.mju.gov.si</w:t>
    </w:r>
  </w:p>
  <w:p w14:paraId="2E9404E4" w14:textId="77777777" w:rsidR="00010E91" w:rsidRPr="008F3500" w:rsidRDefault="00010E91" w:rsidP="00010E91">
    <w:pPr>
      <w:pStyle w:val="Glava"/>
      <w:tabs>
        <w:tab w:val="clear" w:pos="4320"/>
        <w:tab w:val="clear" w:pos="8640"/>
        <w:tab w:val="left" w:pos="5112"/>
      </w:tabs>
    </w:pPr>
  </w:p>
  <w:p w14:paraId="1AED179C" w14:textId="77777777" w:rsidR="00B14903" w:rsidRPr="008F3500" w:rsidRDefault="003551D6" w:rsidP="00B14903">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A56"/>
    <w:multiLevelType w:val="hybridMultilevel"/>
    <w:tmpl w:val="568A8816"/>
    <w:lvl w:ilvl="0" w:tplc="25883686">
      <w:start w:val="1"/>
      <w:numFmt w:val="bullet"/>
      <w:lvlText w:val=""/>
      <w:lvlJc w:val="left"/>
      <w:pPr>
        <w:tabs>
          <w:tab w:val="num" w:pos="720"/>
        </w:tabs>
        <w:ind w:left="720" w:hanging="360"/>
      </w:pPr>
      <w:rPr>
        <w:rFonts w:ascii="Wingdings" w:hAnsi="Wingdings" w:hint="default"/>
      </w:rPr>
    </w:lvl>
    <w:lvl w:ilvl="1" w:tplc="0BB6A874" w:tentative="1">
      <w:start w:val="1"/>
      <w:numFmt w:val="bullet"/>
      <w:lvlText w:val=""/>
      <w:lvlJc w:val="left"/>
      <w:pPr>
        <w:tabs>
          <w:tab w:val="num" w:pos="1440"/>
        </w:tabs>
        <w:ind w:left="1440" w:hanging="360"/>
      </w:pPr>
      <w:rPr>
        <w:rFonts w:ascii="Wingdings" w:hAnsi="Wingdings" w:hint="default"/>
      </w:rPr>
    </w:lvl>
    <w:lvl w:ilvl="2" w:tplc="D3A635BC" w:tentative="1">
      <w:start w:val="1"/>
      <w:numFmt w:val="bullet"/>
      <w:lvlText w:val=""/>
      <w:lvlJc w:val="left"/>
      <w:pPr>
        <w:tabs>
          <w:tab w:val="num" w:pos="2160"/>
        </w:tabs>
        <w:ind w:left="2160" w:hanging="360"/>
      </w:pPr>
      <w:rPr>
        <w:rFonts w:ascii="Wingdings" w:hAnsi="Wingdings" w:hint="default"/>
      </w:rPr>
    </w:lvl>
    <w:lvl w:ilvl="3" w:tplc="D1F2C010" w:tentative="1">
      <w:start w:val="1"/>
      <w:numFmt w:val="bullet"/>
      <w:lvlText w:val=""/>
      <w:lvlJc w:val="left"/>
      <w:pPr>
        <w:tabs>
          <w:tab w:val="num" w:pos="2880"/>
        </w:tabs>
        <w:ind w:left="2880" w:hanging="360"/>
      </w:pPr>
      <w:rPr>
        <w:rFonts w:ascii="Wingdings" w:hAnsi="Wingdings" w:hint="default"/>
      </w:rPr>
    </w:lvl>
    <w:lvl w:ilvl="4" w:tplc="D8EC5AF0" w:tentative="1">
      <w:start w:val="1"/>
      <w:numFmt w:val="bullet"/>
      <w:lvlText w:val=""/>
      <w:lvlJc w:val="left"/>
      <w:pPr>
        <w:tabs>
          <w:tab w:val="num" w:pos="3600"/>
        </w:tabs>
        <w:ind w:left="3600" w:hanging="360"/>
      </w:pPr>
      <w:rPr>
        <w:rFonts w:ascii="Wingdings" w:hAnsi="Wingdings" w:hint="default"/>
      </w:rPr>
    </w:lvl>
    <w:lvl w:ilvl="5" w:tplc="0076E7F6" w:tentative="1">
      <w:start w:val="1"/>
      <w:numFmt w:val="bullet"/>
      <w:lvlText w:val=""/>
      <w:lvlJc w:val="left"/>
      <w:pPr>
        <w:tabs>
          <w:tab w:val="num" w:pos="4320"/>
        </w:tabs>
        <w:ind w:left="4320" w:hanging="360"/>
      </w:pPr>
      <w:rPr>
        <w:rFonts w:ascii="Wingdings" w:hAnsi="Wingdings" w:hint="default"/>
      </w:rPr>
    </w:lvl>
    <w:lvl w:ilvl="6" w:tplc="48D696DE" w:tentative="1">
      <w:start w:val="1"/>
      <w:numFmt w:val="bullet"/>
      <w:lvlText w:val=""/>
      <w:lvlJc w:val="left"/>
      <w:pPr>
        <w:tabs>
          <w:tab w:val="num" w:pos="5040"/>
        </w:tabs>
        <w:ind w:left="5040" w:hanging="360"/>
      </w:pPr>
      <w:rPr>
        <w:rFonts w:ascii="Wingdings" w:hAnsi="Wingdings" w:hint="default"/>
      </w:rPr>
    </w:lvl>
    <w:lvl w:ilvl="7" w:tplc="35824A82" w:tentative="1">
      <w:start w:val="1"/>
      <w:numFmt w:val="bullet"/>
      <w:lvlText w:val=""/>
      <w:lvlJc w:val="left"/>
      <w:pPr>
        <w:tabs>
          <w:tab w:val="num" w:pos="5760"/>
        </w:tabs>
        <w:ind w:left="5760" w:hanging="360"/>
      </w:pPr>
      <w:rPr>
        <w:rFonts w:ascii="Wingdings" w:hAnsi="Wingdings" w:hint="default"/>
      </w:rPr>
    </w:lvl>
    <w:lvl w:ilvl="8" w:tplc="B4F83A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07C74"/>
    <w:multiLevelType w:val="hybridMultilevel"/>
    <w:tmpl w:val="5E123A9E"/>
    <w:lvl w:ilvl="0" w:tplc="29C26BB0">
      <w:start w:val="1"/>
      <w:numFmt w:val="bullet"/>
      <w:lvlText w:val=""/>
      <w:lvlJc w:val="left"/>
      <w:pPr>
        <w:tabs>
          <w:tab w:val="num" w:pos="720"/>
        </w:tabs>
        <w:ind w:left="720" w:hanging="360"/>
      </w:pPr>
      <w:rPr>
        <w:rFonts w:ascii="Wingdings" w:hAnsi="Wingdings" w:hint="default"/>
      </w:rPr>
    </w:lvl>
    <w:lvl w:ilvl="1" w:tplc="A782D45C" w:tentative="1">
      <w:start w:val="1"/>
      <w:numFmt w:val="bullet"/>
      <w:lvlText w:val=""/>
      <w:lvlJc w:val="left"/>
      <w:pPr>
        <w:tabs>
          <w:tab w:val="num" w:pos="1440"/>
        </w:tabs>
        <w:ind w:left="1440" w:hanging="360"/>
      </w:pPr>
      <w:rPr>
        <w:rFonts w:ascii="Wingdings" w:hAnsi="Wingdings" w:hint="default"/>
      </w:rPr>
    </w:lvl>
    <w:lvl w:ilvl="2" w:tplc="6BB2EE0E" w:tentative="1">
      <w:start w:val="1"/>
      <w:numFmt w:val="bullet"/>
      <w:lvlText w:val=""/>
      <w:lvlJc w:val="left"/>
      <w:pPr>
        <w:tabs>
          <w:tab w:val="num" w:pos="2160"/>
        </w:tabs>
        <w:ind w:left="2160" w:hanging="360"/>
      </w:pPr>
      <w:rPr>
        <w:rFonts w:ascii="Wingdings" w:hAnsi="Wingdings" w:hint="default"/>
      </w:rPr>
    </w:lvl>
    <w:lvl w:ilvl="3" w:tplc="2A72D3E6" w:tentative="1">
      <w:start w:val="1"/>
      <w:numFmt w:val="bullet"/>
      <w:lvlText w:val=""/>
      <w:lvlJc w:val="left"/>
      <w:pPr>
        <w:tabs>
          <w:tab w:val="num" w:pos="2880"/>
        </w:tabs>
        <w:ind w:left="2880" w:hanging="360"/>
      </w:pPr>
      <w:rPr>
        <w:rFonts w:ascii="Wingdings" w:hAnsi="Wingdings" w:hint="default"/>
      </w:rPr>
    </w:lvl>
    <w:lvl w:ilvl="4" w:tplc="B6CADF8E" w:tentative="1">
      <w:start w:val="1"/>
      <w:numFmt w:val="bullet"/>
      <w:lvlText w:val=""/>
      <w:lvlJc w:val="left"/>
      <w:pPr>
        <w:tabs>
          <w:tab w:val="num" w:pos="3600"/>
        </w:tabs>
        <w:ind w:left="3600" w:hanging="360"/>
      </w:pPr>
      <w:rPr>
        <w:rFonts w:ascii="Wingdings" w:hAnsi="Wingdings" w:hint="default"/>
      </w:rPr>
    </w:lvl>
    <w:lvl w:ilvl="5" w:tplc="EEB8AD12" w:tentative="1">
      <w:start w:val="1"/>
      <w:numFmt w:val="bullet"/>
      <w:lvlText w:val=""/>
      <w:lvlJc w:val="left"/>
      <w:pPr>
        <w:tabs>
          <w:tab w:val="num" w:pos="4320"/>
        </w:tabs>
        <w:ind w:left="4320" w:hanging="360"/>
      </w:pPr>
      <w:rPr>
        <w:rFonts w:ascii="Wingdings" w:hAnsi="Wingdings" w:hint="default"/>
      </w:rPr>
    </w:lvl>
    <w:lvl w:ilvl="6" w:tplc="3BCEBC52" w:tentative="1">
      <w:start w:val="1"/>
      <w:numFmt w:val="bullet"/>
      <w:lvlText w:val=""/>
      <w:lvlJc w:val="left"/>
      <w:pPr>
        <w:tabs>
          <w:tab w:val="num" w:pos="5040"/>
        </w:tabs>
        <w:ind w:left="5040" w:hanging="360"/>
      </w:pPr>
      <w:rPr>
        <w:rFonts w:ascii="Wingdings" w:hAnsi="Wingdings" w:hint="default"/>
      </w:rPr>
    </w:lvl>
    <w:lvl w:ilvl="7" w:tplc="1534F4DE" w:tentative="1">
      <w:start w:val="1"/>
      <w:numFmt w:val="bullet"/>
      <w:lvlText w:val=""/>
      <w:lvlJc w:val="left"/>
      <w:pPr>
        <w:tabs>
          <w:tab w:val="num" w:pos="5760"/>
        </w:tabs>
        <w:ind w:left="5760" w:hanging="360"/>
      </w:pPr>
      <w:rPr>
        <w:rFonts w:ascii="Wingdings" w:hAnsi="Wingdings" w:hint="default"/>
      </w:rPr>
    </w:lvl>
    <w:lvl w:ilvl="8" w:tplc="A5A435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36AF3"/>
    <w:multiLevelType w:val="hybridMultilevel"/>
    <w:tmpl w:val="6B3C7D14"/>
    <w:lvl w:ilvl="0" w:tplc="F8E4CB52">
      <w:start w:val="1"/>
      <w:numFmt w:val="decimal"/>
      <w:lvlText w:val="%1."/>
      <w:lvlJc w:val="left"/>
      <w:pPr>
        <w:tabs>
          <w:tab w:val="num" w:pos="720"/>
        </w:tabs>
        <w:ind w:left="720" w:hanging="360"/>
      </w:pPr>
    </w:lvl>
    <w:lvl w:ilvl="1" w:tplc="C72ED518" w:tentative="1">
      <w:start w:val="1"/>
      <w:numFmt w:val="decimal"/>
      <w:lvlText w:val="%2."/>
      <w:lvlJc w:val="left"/>
      <w:pPr>
        <w:tabs>
          <w:tab w:val="num" w:pos="1440"/>
        </w:tabs>
        <w:ind w:left="1440" w:hanging="360"/>
      </w:pPr>
    </w:lvl>
    <w:lvl w:ilvl="2" w:tplc="72A6EC5A" w:tentative="1">
      <w:start w:val="1"/>
      <w:numFmt w:val="decimal"/>
      <w:lvlText w:val="%3."/>
      <w:lvlJc w:val="left"/>
      <w:pPr>
        <w:tabs>
          <w:tab w:val="num" w:pos="2160"/>
        </w:tabs>
        <w:ind w:left="2160" w:hanging="360"/>
      </w:pPr>
    </w:lvl>
    <w:lvl w:ilvl="3" w:tplc="E3721208" w:tentative="1">
      <w:start w:val="1"/>
      <w:numFmt w:val="decimal"/>
      <w:lvlText w:val="%4."/>
      <w:lvlJc w:val="left"/>
      <w:pPr>
        <w:tabs>
          <w:tab w:val="num" w:pos="2880"/>
        </w:tabs>
        <w:ind w:left="2880" w:hanging="360"/>
      </w:pPr>
    </w:lvl>
    <w:lvl w:ilvl="4" w:tplc="054A592C" w:tentative="1">
      <w:start w:val="1"/>
      <w:numFmt w:val="decimal"/>
      <w:lvlText w:val="%5."/>
      <w:lvlJc w:val="left"/>
      <w:pPr>
        <w:tabs>
          <w:tab w:val="num" w:pos="3600"/>
        </w:tabs>
        <w:ind w:left="3600" w:hanging="360"/>
      </w:pPr>
    </w:lvl>
    <w:lvl w:ilvl="5" w:tplc="58F66290" w:tentative="1">
      <w:start w:val="1"/>
      <w:numFmt w:val="decimal"/>
      <w:lvlText w:val="%6."/>
      <w:lvlJc w:val="left"/>
      <w:pPr>
        <w:tabs>
          <w:tab w:val="num" w:pos="4320"/>
        </w:tabs>
        <w:ind w:left="4320" w:hanging="360"/>
      </w:pPr>
    </w:lvl>
    <w:lvl w:ilvl="6" w:tplc="C696FF24" w:tentative="1">
      <w:start w:val="1"/>
      <w:numFmt w:val="decimal"/>
      <w:lvlText w:val="%7."/>
      <w:lvlJc w:val="left"/>
      <w:pPr>
        <w:tabs>
          <w:tab w:val="num" w:pos="5040"/>
        </w:tabs>
        <w:ind w:left="5040" w:hanging="360"/>
      </w:pPr>
    </w:lvl>
    <w:lvl w:ilvl="7" w:tplc="AE1617A0" w:tentative="1">
      <w:start w:val="1"/>
      <w:numFmt w:val="decimal"/>
      <w:lvlText w:val="%8."/>
      <w:lvlJc w:val="left"/>
      <w:pPr>
        <w:tabs>
          <w:tab w:val="num" w:pos="5760"/>
        </w:tabs>
        <w:ind w:left="5760" w:hanging="360"/>
      </w:pPr>
    </w:lvl>
    <w:lvl w:ilvl="8" w:tplc="D2C2E1D0" w:tentative="1">
      <w:start w:val="1"/>
      <w:numFmt w:val="decimal"/>
      <w:lvlText w:val="%9."/>
      <w:lvlJc w:val="left"/>
      <w:pPr>
        <w:tabs>
          <w:tab w:val="num" w:pos="6480"/>
        </w:tabs>
        <w:ind w:left="6480" w:hanging="360"/>
      </w:pPr>
    </w:lvl>
  </w:abstractNum>
  <w:abstractNum w:abstractNumId="3" w15:restartNumberingAfterBreak="0">
    <w:nsid w:val="32E70A61"/>
    <w:multiLevelType w:val="hybridMultilevel"/>
    <w:tmpl w:val="D0AC0A58"/>
    <w:lvl w:ilvl="0" w:tplc="1BEA4B6A">
      <w:start w:val="1"/>
      <w:numFmt w:val="bullet"/>
      <w:lvlText w:val=""/>
      <w:lvlJc w:val="left"/>
      <w:pPr>
        <w:tabs>
          <w:tab w:val="num" w:pos="720"/>
        </w:tabs>
        <w:ind w:left="720" w:hanging="360"/>
      </w:pPr>
      <w:rPr>
        <w:rFonts w:ascii="Wingdings" w:hAnsi="Wingdings" w:hint="default"/>
      </w:rPr>
    </w:lvl>
    <w:lvl w:ilvl="1" w:tplc="75303D6A" w:tentative="1">
      <w:start w:val="1"/>
      <w:numFmt w:val="bullet"/>
      <w:lvlText w:val=""/>
      <w:lvlJc w:val="left"/>
      <w:pPr>
        <w:tabs>
          <w:tab w:val="num" w:pos="1440"/>
        </w:tabs>
        <w:ind w:left="1440" w:hanging="360"/>
      </w:pPr>
      <w:rPr>
        <w:rFonts w:ascii="Wingdings" w:hAnsi="Wingdings" w:hint="default"/>
      </w:rPr>
    </w:lvl>
    <w:lvl w:ilvl="2" w:tplc="81AE8C9A" w:tentative="1">
      <w:start w:val="1"/>
      <w:numFmt w:val="bullet"/>
      <w:lvlText w:val=""/>
      <w:lvlJc w:val="left"/>
      <w:pPr>
        <w:tabs>
          <w:tab w:val="num" w:pos="2160"/>
        </w:tabs>
        <w:ind w:left="2160" w:hanging="360"/>
      </w:pPr>
      <w:rPr>
        <w:rFonts w:ascii="Wingdings" w:hAnsi="Wingdings" w:hint="default"/>
      </w:rPr>
    </w:lvl>
    <w:lvl w:ilvl="3" w:tplc="6CF2EAA8" w:tentative="1">
      <w:start w:val="1"/>
      <w:numFmt w:val="bullet"/>
      <w:lvlText w:val=""/>
      <w:lvlJc w:val="left"/>
      <w:pPr>
        <w:tabs>
          <w:tab w:val="num" w:pos="2880"/>
        </w:tabs>
        <w:ind w:left="2880" w:hanging="360"/>
      </w:pPr>
      <w:rPr>
        <w:rFonts w:ascii="Wingdings" w:hAnsi="Wingdings" w:hint="default"/>
      </w:rPr>
    </w:lvl>
    <w:lvl w:ilvl="4" w:tplc="C6A42DA8" w:tentative="1">
      <w:start w:val="1"/>
      <w:numFmt w:val="bullet"/>
      <w:lvlText w:val=""/>
      <w:lvlJc w:val="left"/>
      <w:pPr>
        <w:tabs>
          <w:tab w:val="num" w:pos="3600"/>
        </w:tabs>
        <w:ind w:left="3600" w:hanging="360"/>
      </w:pPr>
      <w:rPr>
        <w:rFonts w:ascii="Wingdings" w:hAnsi="Wingdings" w:hint="default"/>
      </w:rPr>
    </w:lvl>
    <w:lvl w:ilvl="5" w:tplc="FA647434" w:tentative="1">
      <w:start w:val="1"/>
      <w:numFmt w:val="bullet"/>
      <w:lvlText w:val=""/>
      <w:lvlJc w:val="left"/>
      <w:pPr>
        <w:tabs>
          <w:tab w:val="num" w:pos="4320"/>
        </w:tabs>
        <w:ind w:left="4320" w:hanging="360"/>
      </w:pPr>
      <w:rPr>
        <w:rFonts w:ascii="Wingdings" w:hAnsi="Wingdings" w:hint="default"/>
      </w:rPr>
    </w:lvl>
    <w:lvl w:ilvl="6" w:tplc="5FD01C46" w:tentative="1">
      <w:start w:val="1"/>
      <w:numFmt w:val="bullet"/>
      <w:lvlText w:val=""/>
      <w:lvlJc w:val="left"/>
      <w:pPr>
        <w:tabs>
          <w:tab w:val="num" w:pos="5040"/>
        </w:tabs>
        <w:ind w:left="5040" w:hanging="360"/>
      </w:pPr>
      <w:rPr>
        <w:rFonts w:ascii="Wingdings" w:hAnsi="Wingdings" w:hint="default"/>
      </w:rPr>
    </w:lvl>
    <w:lvl w:ilvl="7" w:tplc="3364DD3A" w:tentative="1">
      <w:start w:val="1"/>
      <w:numFmt w:val="bullet"/>
      <w:lvlText w:val=""/>
      <w:lvlJc w:val="left"/>
      <w:pPr>
        <w:tabs>
          <w:tab w:val="num" w:pos="5760"/>
        </w:tabs>
        <w:ind w:left="5760" w:hanging="360"/>
      </w:pPr>
      <w:rPr>
        <w:rFonts w:ascii="Wingdings" w:hAnsi="Wingdings" w:hint="default"/>
      </w:rPr>
    </w:lvl>
    <w:lvl w:ilvl="8" w:tplc="A13CE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CF6C8D"/>
    <w:multiLevelType w:val="hybridMultilevel"/>
    <w:tmpl w:val="60D8A71E"/>
    <w:lvl w:ilvl="0" w:tplc="C160015C">
      <w:start w:val="1"/>
      <w:numFmt w:val="bullet"/>
      <w:lvlText w:val=""/>
      <w:lvlJc w:val="left"/>
      <w:pPr>
        <w:tabs>
          <w:tab w:val="num" w:pos="720"/>
        </w:tabs>
        <w:ind w:left="720" w:hanging="360"/>
      </w:pPr>
      <w:rPr>
        <w:rFonts w:ascii="Wingdings" w:hAnsi="Wingdings" w:hint="default"/>
      </w:rPr>
    </w:lvl>
    <w:lvl w:ilvl="1" w:tplc="81D67CA6" w:tentative="1">
      <w:start w:val="1"/>
      <w:numFmt w:val="bullet"/>
      <w:lvlText w:val=""/>
      <w:lvlJc w:val="left"/>
      <w:pPr>
        <w:tabs>
          <w:tab w:val="num" w:pos="1440"/>
        </w:tabs>
        <w:ind w:left="1440" w:hanging="360"/>
      </w:pPr>
      <w:rPr>
        <w:rFonts w:ascii="Wingdings" w:hAnsi="Wingdings" w:hint="default"/>
      </w:rPr>
    </w:lvl>
    <w:lvl w:ilvl="2" w:tplc="8E7EFBB8" w:tentative="1">
      <w:start w:val="1"/>
      <w:numFmt w:val="bullet"/>
      <w:lvlText w:val=""/>
      <w:lvlJc w:val="left"/>
      <w:pPr>
        <w:tabs>
          <w:tab w:val="num" w:pos="2160"/>
        </w:tabs>
        <w:ind w:left="2160" w:hanging="360"/>
      </w:pPr>
      <w:rPr>
        <w:rFonts w:ascii="Wingdings" w:hAnsi="Wingdings" w:hint="default"/>
      </w:rPr>
    </w:lvl>
    <w:lvl w:ilvl="3" w:tplc="68724498" w:tentative="1">
      <w:start w:val="1"/>
      <w:numFmt w:val="bullet"/>
      <w:lvlText w:val=""/>
      <w:lvlJc w:val="left"/>
      <w:pPr>
        <w:tabs>
          <w:tab w:val="num" w:pos="2880"/>
        </w:tabs>
        <w:ind w:left="2880" w:hanging="360"/>
      </w:pPr>
      <w:rPr>
        <w:rFonts w:ascii="Wingdings" w:hAnsi="Wingdings" w:hint="default"/>
      </w:rPr>
    </w:lvl>
    <w:lvl w:ilvl="4" w:tplc="E536046E" w:tentative="1">
      <w:start w:val="1"/>
      <w:numFmt w:val="bullet"/>
      <w:lvlText w:val=""/>
      <w:lvlJc w:val="left"/>
      <w:pPr>
        <w:tabs>
          <w:tab w:val="num" w:pos="3600"/>
        </w:tabs>
        <w:ind w:left="3600" w:hanging="360"/>
      </w:pPr>
      <w:rPr>
        <w:rFonts w:ascii="Wingdings" w:hAnsi="Wingdings" w:hint="default"/>
      </w:rPr>
    </w:lvl>
    <w:lvl w:ilvl="5" w:tplc="330822C2" w:tentative="1">
      <w:start w:val="1"/>
      <w:numFmt w:val="bullet"/>
      <w:lvlText w:val=""/>
      <w:lvlJc w:val="left"/>
      <w:pPr>
        <w:tabs>
          <w:tab w:val="num" w:pos="4320"/>
        </w:tabs>
        <w:ind w:left="4320" w:hanging="360"/>
      </w:pPr>
      <w:rPr>
        <w:rFonts w:ascii="Wingdings" w:hAnsi="Wingdings" w:hint="default"/>
      </w:rPr>
    </w:lvl>
    <w:lvl w:ilvl="6" w:tplc="CE38E5D8" w:tentative="1">
      <w:start w:val="1"/>
      <w:numFmt w:val="bullet"/>
      <w:lvlText w:val=""/>
      <w:lvlJc w:val="left"/>
      <w:pPr>
        <w:tabs>
          <w:tab w:val="num" w:pos="5040"/>
        </w:tabs>
        <w:ind w:left="5040" w:hanging="360"/>
      </w:pPr>
      <w:rPr>
        <w:rFonts w:ascii="Wingdings" w:hAnsi="Wingdings" w:hint="default"/>
      </w:rPr>
    </w:lvl>
    <w:lvl w:ilvl="7" w:tplc="20A25900" w:tentative="1">
      <w:start w:val="1"/>
      <w:numFmt w:val="bullet"/>
      <w:lvlText w:val=""/>
      <w:lvlJc w:val="left"/>
      <w:pPr>
        <w:tabs>
          <w:tab w:val="num" w:pos="5760"/>
        </w:tabs>
        <w:ind w:left="5760" w:hanging="360"/>
      </w:pPr>
      <w:rPr>
        <w:rFonts w:ascii="Wingdings" w:hAnsi="Wingdings" w:hint="default"/>
      </w:rPr>
    </w:lvl>
    <w:lvl w:ilvl="8" w:tplc="AC84E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216B42"/>
    <w:multiLevelType w:val="hybridMultilevel"/>
    <w:tmpl w:val="13642D6C"/>
    <w:lvl w:ilvl="0" w:tplc="DC065E6E">
      <w:start w:val="1"/>
      <w:numFmt w:val="bullet"/>
      <w:lvlText w:val=""/>
      <w:lvlJc w:val="left"/>
      <w:pPr>
        <w:tabs>
          <w:tab w:val="num" w:pos="720"/>
        </w:tabs>
        <w:ind w:left="720" w:hanging="360"/>
      </w:pPr>
      <w:rPr>
        <w:rFonts w:ascii="Wingdings" w:hAnsi="Wingdings" w:hint="default"/>
      </w:rPr>
    </w:lvl>
    <w:lvl w:ilvl="1" w:tplc="FFC4CB90" w:tentative="1">
      <w:start w:val="1"/>
      <w:numFmt w:val="bullet"/>
      <w:lvlText w:val=""/>
      <w:lvlJc w:val="left"/>
      <w:pPr>
        <w:tabs>
          <w:tab w:val="num" w:pos="1440"/>
        </w:tabs>
        <w:ind w:left="1440" w:hanging="360"/>
      </w:pPr>
      <w:rPr>
        <w:rFonts w:ascii="Wingdings" w:hAnsi="Wingdings" w:hint="default"/>
      </w:rPr>
    </w:lvl>
    <w:lvl w:ilvl="2" w:tplc="D958A6C6" w:tentative="1">
      <w:start w:val="1"/>
      <w:numFmt w:val="bullet"/>
      <w:lvlText w:val=""/>
      <w:lvlJc w:val="left"/>
      <w:pPr>
        <w:tabs>
          <w:tab w:val="num" w:pos="2160"/>
        </w:tabs>
        <w:ind w:left="2160" w:hanging="360"/>
      </w:pPr>
      <w:rPr>
        <w:rFonts w:ascii="Wingdings" w:hAnsi="Wingdings" w:hint="default"/>
      </w:rPr>
    </w:lvl>
    <w:lvl w:ilvl="3" w:tplc="A58C7078" w:tentative="1">
      <w:start w:val="1"/>
      <w:numFmt w:val="bullet"/>
      <w:lvlText w:val=""/>
      <w:lvlJc w:val="left"/>
      <w:pPr>
        <w:tabs>
          <w:tab w:val="num" w:pos="2880"/>
        </w:tabs>
        <w:ind w:left="2880" w:hanging="360"/>
      </w:pPr>
      <w:rPr>
        <w:rFonts w:ascii="Wingdings" w:hAnsi="Wingdings" w:hint="default"/>
      </w:rPr>
    </w:lvl>
    <w:lvl w:ilvl="4" w:tplc="28ACB3B4" w:tentative="1">
      <w:start w:val="1"/>
      <w:numFmt w:val="bullet"/>
      <w:lvlText w:val=""/>
      <w:lvlJc w:val="left"/>
      <w:pPr>
        <w:tabs>
          <w:tab w:val="num" w:pos="3600"/>
        </w:tabs>
        <w:ind w:left="3600" w:hanging="360"/>
      </w:pPr>
      <w:rPr>
        <w:rFonts w:ascii="Wingdings" w:hAnsi="Wingdings" w:hint="default"/>
      </w:rPr>
    </w:lvl>
    <w:lvl w:ilvl="5" w:tplc="8D9886EC" w:tentative="1">
      <w:start w:val="1"/>
      <w:numFmt w:val="bullet"/>
      <w:lvlText w:val=""/>
      <w:lvlJc w:val="left"/>
      <w:pPr>
        <w:tabs>
          <w:tab w:val="num" w:pos="4320"/>
        </w:tabs>
        <w:ind w:left="4320" w:hanging="360"/>
      </w:pPr>
      <w:rPr>
        <w:rFonts w:ascii="Wingdings" w:hAnsi="Wingdings" w:hint="default"/>
      </w:rPr>
    </w:lvl>
    <w:lvl w:ilvl="6" w:tplc="75D61398" w:tentative="1">
      <w:start w:val="1"/>
      <w:numFmt w:val="bullet"/>
      <w:lvlText w:val=""/>
      <w:lvlJc w:val="left"/>
      <w:pPr>
        <w:tabs>
          <w:tab w:val="num" w:pos="5040"/>
        </w:tabs>
        <w:ind w:left="5040" w:hanging="360"/>
      </w:pPr>
      <w:rPr>
        <w:rFonts w:ascii="Wingdings" w:hAnsi="Wingdings" w:hint="default"/>
      </w:rPr>
    </w:lvl>
    <w:lvl w:ilvl="7" w:tplc="0756E79C" w:tentative="1">
      <w:start w:val="1"/>
      <w:numFmt w:val="bullet"/>
      <w:lvlText w:val=""/>
      <w:lvlJc w:val="left"/>
      <w:pPr>
        <w:tabs>
          <w:tab w:val="num" w:pos="5760"/>
        </w:tabs>
        <w:ind w:left="5760" w:hanging="360"/>
      </w:pPr>
      <w:rPr>
        <w:rFonts w:ascii="Wingdings" w:hAnsi="Wingdings" w:hint="default"/>
      </w:rPr>
    </w:lvl>
    <w:lvl w:ilvl="8" w:tplc="035097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D6B03"/>
    <w:multiLevelType w:val="hybridMultilevel"/>
    <w:tmpl w:val="46EC3EF0"/>
    <w:lvl w:ilvl="0" w:tplc="0D48BF52">
      <w:start w:val="1"/>
      <w:numFmt w:val="bullet"/>
      <w:lvlText w:val="–"/>
      <w:lvlJc w:val="left"/>
      <w:pPr>
        <w:tabs>
          <w:tab w:val="num" w:pos="720"/>
        </w:tabs>
        <w:ind w:left="720" w:hanging="360"/>
      </w:pPr>
      <w:rPr>
        <w:rFonts w:ascii="Calibri" w:hAnsi="Calibri" w:hint="default"/>
      </w:rPr>
    </w:lvl>
    <w:lvl w:ilvl="1" w:tplc="24F8C136" w:tentative="1">
      <w:start w:val="1"/>
      <w:numFmt w:val="bullet"/>
      <w:lvlText w:val="–"/>
      <w:lvlJc w:val="left"/>
      <w:pPr>
        <w:tabs>
          <w:tab w:val="num" w:pos="1440"/>
        </w:tabs>
        <w:ind w:left="1440" w:hanging="360"/>
      </w:pPr>
      <w:rPr>
        <w:rFonts w:ascii="Calibri" w:hAnsi="Calibri" w:hint="default"/>
      </w:rPr>
    </w:lvl>
    <w:lvl w:ilvl="2" w:tplc="CD70ED2C" w:tentative="1">
      <w:start w:val="1"/>
      <w:numFmt w:val="bullet"/>
      <w:lvlText w:val="–"/>
      <w:lvlJc w:val="left"/>
      <w:pPr>
        <w:tabs>
          <w:tab w:val="num" w:pos="2160"/>
        </w:tabs>
        <w:ind w:left="2160" w:hanging="360"/>
      </w:pPr>
      <w:rPr>
        <w:rFonts w:ascii="Calibri" w:hAnsi="Calibri" w:hint="default"/>
      </w:rPr>
    </w:lvl>
    <w:lvl w:ilvl="3" w:tplc="7A68683A" w:tentative="1">
      <w:start w:val="1"/>
      <w:numFmt w:val="bullet"/>
      <w:lvlText w:val="–"/>
      <w:lvlJc w:val="left"/>
      <w:pPr>
        <w:tabs>
          <w:tab w:val="num" w:pos="2880"/>
        </w:tabs>
        <w:ind w:left="2880" w:hanging="360"/>
      </w:pPr>
      <w:rPr>
        <w:rFonts w:ascii="Calibri" w:hAnsi="Calibri" w:hint="default"/>
      </w:rPr>
    </w:lvl>
    <w:lvl w:ilvl="4" w:tplc="0CE62AE0" w:tentative="1">
      <w:start w:val="1"/>
      <w:numFmt w:val="bullet"/>
      <w:lvlText w:val="–"/>
      <w:lvlJc w:val="left"/>
      <w:pPr>
        <w:tabs>
          <w:tab w:val="num" w:pos="3600"/>
        </w:tabs>
        <w:ind w:left="3600" w:hanging="360"/>
      </w:pPr>
      <w:rPr>
        <w:rFonts w:ascii="Calibri" w:hAnsi="Calibri" w:hint="default"/>
      </w:rPr>
    </w:lvl>
    <w:lvl w:ilvl="5" w:tplc="1AB86496" w:tentative="1">
      <w:start w:val="1"/>
      <w:numFmt w:val="bullet"/>
      <w:lvlText w:val="–"/>
      <w:lvlJc w:val="left"/>
      <w:pPr>
        <w:tabs>
          <w:tab w:val="num" w:pos="4320"/>
        </w:tabs>
        <w:ind w:left="4320" w:hanging="360"/>
      </w:pPr>
      <w:rPr>
        <w:rFonts w:ascii="Calibri" w:hAnsi="Calibri" w:hint="default"/>
      </w:rPr>
    </w:lvl>
    <w:lvl w:ilvl="6" w:tplc="66BEFE52" w:tentative="1">
      <w:start w:val="1"/>
      <w:numFmt w:val="bullet"/>
      <w:lvlText w:val="–"/>
      <w:lvlJc w:val="left"/>
      <w:pPr>
        <w:tabs>
          <w:tab w:val="num" w:pos="5040"/>
        </w:tabs>
        <w:ind w:left="5040" w:hanging="360"/>
      </w:pPr>
      <w:rPr>
        <w:rFonts w:ascii="Calibri" w:hAnsi="Calibri" w:hint="default"/>
      </w:rPr>
    </w:lvl>
    <w:lvl w:ilvl="7" w:tplc="19AA1536" w:tentative="1">
      <w:start w:val="1"/>
      <w:numFmt w:val="bullet"/>
      <w:lvlText w:val="–"/>
      <w:lvlJc w:val="left"/>
      <w:pPr>
        <w:tabs>
          <w:tab w:val="num" w:pos="5760"/>
        </w:tabs>
        <w:ind w:left="5760" w:hanging="360"/>
      </w:pPr>
      <w:rPr>
        <w:rFonts w:ascii="Calibri" w:hAnsi="Calibri" w:hint="default"/>
      </w:rPr>
    </w:lvl>
    <w:lvl w:ilvl="8" w:tplc="083A0320"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8F01D3B"/>
    <w:multiLevelType w:val="hybridMultilevel"/>
    <w:tmpl w:val="4C12A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03297759">
    <w:abstractNumId w:val="7"/>
  </w:num>
  <w:num w:numId="2" w16cid:durableId="2023623711">
    <w:abstractNumId w:val="8"/>
  </w:num>
  <w:num w:numId="3" w16cid:durableId="30038335">
    <w:abstractNumId w:val="4"/>
  </w:num>
  <w:num w:numId="4" w16cid:durableId="2077895921">
    <w:abstractNumId w:val="0"/>
  </w:num>
  <w:num w:numId="5" w16cid:durableId="984120876">
    <w:abstractNumId w:val="2"/>
  </w:num>
  <w:num w:numId="6" w16cid:durableId="1704937641">
    <w:abstractNumId w:val="5"/>
  </w:num>
  <w:num w:numId="7" w16cid:durableId="1380783681">
    <w:abstractNumId w:val="1"/>
  </w:num>
  <w:num w:numId="8" w16cid:durableId="675155125">
    <w:abstractNumId w:val="6"/>
  </w:num>
  <w:num w:numId="9" w16cid:durableId="1180663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04"/>
    <w:rsid w:val="00006A12"/>
    <w:rsid w:val="00010E91"/>
    <w:rsid w:val="000357F0"/>
    <w:rsid w:val="00064CAC"/>
    <w:rsid w:val="000A3A9B"/>
    <w:rsid w:val="000C1003"/>
    <w:rsid w:val="000D5558"/>
    <w:rsid w:val="00101394"/>
    <w:rsid w:val="0017391B"/>
    <w:rsid w:val="001B7FF7"/>
    <w:rsid w:val="001C0F79"/>
    <w:rsid w:val="001D39E2"/>
    <w:rsid w:val="00201037"/>
    <w:rsid w:val="00214E5E"/>
    <w:rsid w:val="0023209A"/>
    <w:rsid w:val="00274DE3"/>
    <w:rsid w:val="00284E02"/>
    <w:rsid w:val="002878C7"/>
    <w:rsid w:val="002F69C8"/>
    <w:rsid w:val="0033131A"/>
    <w:rsid w:val="003551D6"/>
    <w:rsid w:val="00372E08"/>
    <w:rsid w:val="003A2392"/>
    <w:rsid w:val="003C241F"/>
    <w:rsid w:val="003C4AD3"/>
    <w:rsid w:val="0040388C"/>
    <w:rsid w:val="004104B8"/>
    <w:rsid w:val="004F06F8"/>
    <w:rsid w:val="0052433F"/>
    <w:rsid w:val="00554CA1"/>
    <w:rsid w:val="00556650"/>
    <w:rsid w:val="00557704"/>
    <w:rsid w:val="0056051A"/>
    <w:rsid w:val="006124DC"/>
    <w:rsid w:val="00636190"/>
    <w:rsid w:val="00640EE7"/>
    <w:rsid w:val="006709AD"/>
    <w:rsid w:val="006B5123"/>
    <w:rsid w:val="006D5AD5"/>
    <w:rsid w:val="006F1E66"/>
    <w:rsid w:val="0077456A"/>
    <w:rsid w:val="007C4284"/>
    <w:rsid w:val="007E1668"/>
    <w:rsid w:val="00800586"/>
    <w:rsid w:val="008076EF"/>
    <w:rsid w:val="00877382"/>
    <w:rsid w:val="008F229E"/>
    <w:rsid w:val="00947CD3"/>
    <w:rsid w:val="00962C1F"/>
    <w:rsid w:val="009B46E6"/>
    <w:rsid w:val="00A033C4"/>
    <w:rsid w:val="00A03F5B"/>
    <w:rsid w:val="00A17ACF"/>
    <w:rsid w:val="00A407D6"/>
    <w:rsid w:val="00A45E35"/>
    <w:rsid w:val="00A61144"/>
    <w:rsid w:val="00A73AC9"/>
    <w:rsid w:val="00AA3581"/>
    <w:rsid w:val="00AD03DA"/>
    <w:rsid w:val="00AE4999"/>
    <w:rsid w:val="00B66833"/>
    <w:rsid w:val="00BC75D4"/>
    <w:rsid w:val="00BD5103"/>
    <w:rsid w:val="00C12AC1"/>
    <w:rsid w:val="00C203E4"/>
    <w:rsid w:val="00C446B2"/>
    <w:rsid w:val="00C67D7D"/>
    <w:rsid w:val="00CA6985"/>
    <w:rsid w:val="00CC3E25"/>
    <w:rsid w:val="00D202ED"/>
    <w:rsid w:val="00DA10D9"/>
    <w:rsid w:val="00E04738"/>
    <w:rsid w:val="00E80978"/>
    <w:rsid w:val="00E8281C"/>
    <w:rsid w:val="00EB46F1"/>
    <w:rsid w:val="00EC480C"/>
    <w:rsid w:val="00F71288"/>
    <w:rsid w:val="00F97C7B"/>
    <w:rsid w:val="00FA1FE1"/>
    <w:rsid w:val="00FA5E99"/>
    <w:rsid w:val="00FB0AF8"/>
    <w:rsid w:val="00FC3D48"/>
    <w:rsid w:val="00FE55FB"/>
    <w:rsid w:val="00FF60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0057"/>
  <w15:chartTrackingRefBased/>
  <w15:docId w15:val="{72E5717E-1FAD-4A9D-BDF1-E2DB2443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7704"/>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40388C"/>
    <w:p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57704"/>
    <w:pPr>
      <w:tabs>
        <w:tab w:val="center" w:pos="4320"/>
        <w:tab w:val="right" w:pos="8640"/>
      </w:tabs>
    </w:pPr>
  </w:style>
  <w:style w:type="character" w:customStyle="1" w:styleId="GlavaZnak">
    <w:name w:val="Glava Znak"/>
    <w:basedOn w:val="Privzetapisavaodstavka"/>
    <w:link w:val="Glava"/>
    <w:rsid w:val="00557704"/>
    <w:rPr>
      <w:rFonts w:ascii="Arial" w:eastAsia="Times New Roman" w:hAnsi="Arial" w:cs="Times New Roman"/>
      <w:sz w:val="20"/>
      <w:szCs w:val="24"/>
      <w:lang w:val="en-US"/>
    </w:rPr>
  </w:style>
  <w:style w:type="paragraph" w:styleId="Noga">
    <w:name w:val="footer"/>
    <w:basedOn w:val="Navaden"/>
    <w:link w:val="NogaZnak"/>
    <w:uiPriority w:val="99"/>
    <w:rsid w:val="00557704"/>
    <w:pPr>
      <w:tabs>
        <w:tab w:val="center" w:pos="4320"/>
        <w:tab w:val="right" w:pos="8640"/>
      </w:tabs>
    </w:pPr>
  </w:style>
  <w:style w:type="character" w:customStyle="1" w:styleId="NogaZnak">
    <w:name w:val="Noga Znak"/>
    <w:basedOn w:val="Privzetapisavaodstavka"/>
    <w:link w:val="Noga"/>
    <w:uiPriority w:val="99"/>
    <w:rsid w:val="00557704"/>
    <w:rPr>
      <w:rFonts w:ascii="Arial" w:eastAsia="Times New Roman" w:hAnsi="Arial" w:cs="Times New Roman"/>
      <w:sz w:val="20"/>
      <w:szCs w:val="24"/>
      <w:lang w:val="en-US"/>
    </w:rPr>
  </w:style>
  <w:style w:type="table" w:styleId="Tabelamrea">
    <w:name w:val="Table Grid"/>
    <w:basedOn w:val="Navadnatabela"/>
    <w:uiPriority w:val="59"/>
    <w:rsid w:val="0055770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557704"/>
    <w:pPr>
      <w:tabs>
        <w:tab w:val="left" w:pos="1701"/>
      </w:tabs>
    </w:pPr>
    <w:rPr>
      <w:szCs w:val="20"/>
      <w:lang w:val="sl-SI" w:eastAsia="sl-SI"/>
    </w:rPr>
  </w:style>
  <w:style w:type="paragraph" w:customStyle="1" w:styleId="podpisi">
    <w:name w:val="podpisi"/>
    <w:basedOn w:val="Navaden"/>
    <w:qFormat/>
    <w:rsid w:val="00557704"/>
    <w:pPr>
      <w:tabs>
        <w:tab w:val="left" w:pos="3402"/>
      </w:tabs>
    </w:pPr>
    <w:rPr>
      <w:lang w:val="it-IT"/>
    </w:rPr>
  </w:style>
  <w:style w:type="paragraph" w:styleId="Odstavekseznama">
    <w:name w:val="List Paragraph"/>
    <w:aliases w:val="numbered list"/>
    <w:basedOn w:val="Navaden"/>
    <w:link w:val="OdstavekseznamaZnak"/>
    <w:uiPriority w:val="34"/>
    <w:qFormat/>
    <w:rsid w:val="00557704"/>
    <w:pPr>
      <w:spacing w:line="260" w:lineRule="atLeast"/>
      <w:ind w:left="720"/>
      <w:contextualSpacing/>
    </w:pPr>
    <w:rPr>
      <w:lang w:val="sl-SI"/>
    </w:rPr>
  </w:style>
  <w:style w:type="character" w:customStyle="1" w:styleId="OdstavekseznamaZnak">
    <w:name w:val="Odstavek seznama Znak"/>
    <w:aliases w:val="numbered list Znak"/>
    <w:link w:val="Odstavekseznama"/>
    <w:uiPriority w:val="34"/>
    <w:locked/>
    <w:rsid w:val="00557704"/>
    <w:rPr>
      <w:rFonts w:ascii="Arial" w:eastAsia="Times New Roman" w:hAnsi="Arial" w:cs="Times New Roman"/>
      <w:sz w:val="20"/>
      <w:szCs w:val="24"/>
    </w:rPr>
  </w:style>
  <w:style w:type="paragraph" w:styleId="Telobesedila2">
    <w:name w:val="Body Text 2"/>
    <w:basedOn w:val="Navaden"/>
    <w:link w:val="Telobesedila2Znak"/>
    <w:rsid w:val="00557704"/>
    <w:pPr>
      <w:suppressAutoHyphens/>
      <w:spacing w:after="120" w:line="480" w:lineRule="auto"/>
    </w:pPr>
    <w:rPr>
      <w:rFonts w:ascii="Times New Roman" w:hAnsi="Times New Roman"/>
      <w:sz w:val="24"/>
      <w:lang w:val="sl-SI" w:eastAsia="ar-SA"/>
    </w:rPr>
  </w:style>
  <w:style w:type="character" w:customStyle="1" w:styleId="Telobesedila2Znak">
    <w:name w:val="Telo besedila 2 Znak"/>
    <w:basedOn w:val="Privzetapisavaodstavka"/>
    <w:link w:val="Telobesedila2"/>
    <w:rsid w:val="00557704"/>
    <w:rPr>
      <w:rFonts w:ascii="Times New Roman" w:eastAsia="Times New Roman" w:hAnsi="Times New Roman" w:cs="Times New Roman"/>
      <w:sz w:val="24"/>
      <w:szCs w:val="24"/>
      <w:lang w:eastAsia="ar-SA"/>
    </w:rPr>
  </w:style>
  <w:style w:type="character" w:styleId="Hiperpovezava">
    <w:name w:val="Hyperlink"/>
    <w:basedOn w:val="Privzetapisavaodstavka"/>
    <w:uiPriority w:val="99"/>
    <w:unhideWhenUsed/>
    <w:rsid w:val="00557704"/>
    <w:rPr>
      <w:color w:val="0563C1" w:themeColor="hyperlink"/>
      <w:u w:val="single"/>
    </w:rPr>
  </w:style>
  <w:style w:type="character" w:customStyle="1" w:styleId="Nerazreenaomemba1">
    <w:name w:val="Nerazrešena omemba1"/>
    <w:basedOn w:val="Privzetapisavaodstavka"/>
    <w:uiPriority w:val="99"/>
    <w:semiHidden/>
    <w:unhideWhenUsed/>
    <w:rsid w:val="00557704"/>
    <w:rPr>
      <w:color w:val="605E5C"/>
      <w:shd w:val="clear" w:color="auto" w:fill="E1DFDD"/>
    </w:rPr>
  </w:style>
  <w:style w:type="paragraph" w:customStyle="1" w:styleId="odstavek">
    <w:name w:val="odstavek"/>
    <w:basedOn w:val="Navaden"/>
    <w:rsid w:val="00010E91"/>
    <w:pPr>
      <w:spacing w:before="100" w:beforeAutospacing="1" w:after="100" w:afterAutospacing="1" w:line="240" w:lineRule="auto"/>
    </w:pPr>
    <w:rPr>
      <w:rFonts w:ascii="Times New Roman" w:hAnsi="Times New Roman"/>
      <w:sz w:val="24"/>
      <w:lang w:val="sl-SI" w:eastAsia="sl-SI"/>
    </w:rPr>
  </w:style>
  <w:style w:type="paragraph" w:customStyle="1" w:styleId="xmsonormal">
    <w:name w:val="x_msonormal"/>
    <w:basedOn w:val="Navaden"/>
    <w:rsid w:val="0056051A"/>
    <w:pPr>
      <w:spacing w:line="240" w:lineRule="auto"/>
    </w:pPr>
    <w:rPr>
      <w:rFonts w:ascii="Calibri" w:eastAsiaTheme="minorHAnsi" w:hAnsi="Calibri" w:cs="Calibri"/>
      <w:sz w:val="22"/>
      <w:szCs w:val="22"/>
      <w:lang w:val="sl-SI" w:eastAsia="sl-SI"/>
    </w:rPr>
  </w:style>
  <w:style w:type="paragraph" w:customStyle="1" w:styleId="len">
    <w:name w:val="len"/>
    <w:basedOn w:val="Navaden"/>
    <w:rsid w:val="004104B8"/>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_predpisa"/>
    <w:basedOn w:val="Navaden"/>
    <w:link w:val="NaslovpredpisaZnak"/>
    <w:qFormat/>
    <w:rsid w:val="001C0F79"/>
    <w:pPr>
      <w:suppressAutoHyphens/>
      <w:overflowPunct w:val="0"/>
      <w:autoSpaceDE w:val="0"/>
      <w:autoSpaceDN w:val="0"/>
      <w:adjustRightInd w:val="0"/>
      <w:spacing w:before="120" w:after="160" w:line="200" w:lineRule="exact"/>
      <w:jc w:val="center"/>
      <w:textAlignment w:val="baseline"/>
    </w:pPr>
    <w:rPr>
      <w:b/>
      <w:sz w:val="22"/>
      <w:szCs w:val="22"/>
      <w:lang w:val="sl-SI"/>
    </w:rPr>
  </w:style>
  <w:style w:type="character" w:customStyle="1" w:styleId="NaslovpredpisaZnak">
    <w:name w:val="Naslov_predpisa Znak"/>
    <w:link w:val="Naslovpredpisa"/>
    <w:rsid w:val="001C0F79"/>
    <w:rPr>
      <w:rFonts w:ascii="Arial" w:eastAsia="Times New Roman" w:hAnsi="Arial" w:cs="Times New Roman"/>
      <w:b/>
    </w:rPr>
  </w:style>
  <w:style w:type="character" w:styleId="Pripombasklic">
    <w:name w:val="annotation reference"/>
    <w:basedOn w:val="Privzetapisavaodstavka"/>
    <w:uiPriority w:val="99"/>
    <w:semiHidden/>
    <w:unhideWhenUsed/>
    <w:rsid w:val="000357F0"/>
    <w:rPr>
      <w:sz w:val="16"/>
      <w:szCs w:val="16"/>
    </w:rPr>
  </w:style>
  <w:style w:type="paragraph" w:styleId="Pripombabesedilo">
    <w:name w:val="annotation text"/>
    <w:basedOn w:val="Navaden"/>
    <w:link w:val="PripombabesediloZnak"/>
    <w:uiPriority w:val="99"/>
    <w:unhideWhenUsed/>
    <w:rsid w:val="000357F0"/>
    <w:pPr>
      <w:spacing w:line="240" w:lineRule="auto"/>
    </w:pPr>
    <w:rPr>
      <w:szCs w:val="20"/>
    </w:rPr>
  </w:style>
  <w:style w:type="character" w:customStyle="1" w:styleId="PripombabesediloZnak">
    <w:name w:val="Pripomba – besedilo Znak"/>
    <w:basedOn w:val="Privzetapisavaodstavka"/>
    <w:link w:val="Pripombabesedilo"/>
    <w:uiPriority w:val="99"/>
    <w:rsid w:val="000357F0"/>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357F0"/>
    <w:rPr>
      <w:b/>
      <w:bCs/>
    </w:rPr>
  </w:style>
  <w:style w:type="character" w:customStyle="1" w:styleId="ZadevapripombeZnak">
    <w:name w:val="Zadeva pripombe Znak"/>
    <w:basedOn w:val="PripombabesediloZnak"/>
    <w:link w:val="Zadevapripombe"/>
    <w:uiPriority w:val="99"/>
    <w:semiHidden/>
    <w:rsid w:val="000357F0"/>
    <w:rPr>
      <w:rFonts w:ascii="Arial" w:eastAsia="Times New Roman" w:hAnsi="Arial" w:cs="Times New Roman"/>
      <w:b/>
      <w:bCs/>
      <w:sz w:val="20"/>
      <w:szCs w:val="20"/>
      <w:lang w:val="en-US"/>
    </w:rPr>
  </w:style>
  <w:style w:type="character" w:customStyle="1" w:styleId="Naslov1Znak">
    <w:name w:val="Naslov 1 Znak"/>
    <w:basedOn w:val="Privzetapisavaodstavka"/>
    <w:link w:val="Naslov1"/>
    <w:uiPriority w:val="9"/>
    <w:rsid w:val="0040388C"/>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15675">
      <w:bodyDiv w:val="1"/>
      <w:marLeft w:val="0"/>
      <w:marRight w:val="0"/>
      <w:marTop w:val="0"/>
      <w:marBottom w:val="0"/>
      <w:divBdr>
        <w:top w:val="none" w:sz="0" w:space="0" w:color="auto"/>
        <w:left w:val="none" w:sz="0" w:space="0" w:color="auto"/>
        <w:bottom w:val="none" w:sz="0" w:space="0" w:color="auto"/>
        <w:right w:val="none" w:sz="0" w:space="0" w:color="auto"/>
      </w:divBdr>
      <w:divsChild>
        <w:div w:id="1584997728">
          <w:marLeft w:val="0"/>
          <w:marRight w:val="0"/>
          <w:marTop w:val="0"/>
          <w:marBottom w:val="0"/>
          <w:divBdr>
            <w:top w:val="none" w:sz="0" w:space="0" w:color="auto"/>
            <w:left w:val="none" w:sz="0" w:space="0" w:color="auto"/>
            <w:bottom w:val="none" w:sz="0" w:space="0" w:color="auto"/>
            <w:right w:val="none" w:sz="0" w:space="0" w:color="auto"/>
          </w:divBdr>
        </w:div>
        <w:div w:id="1418595719">
          <w:marLeft w:val="0"/>
          <w:marRight w:val="0"/>
          <w:marTop w:val="0"/>
          <w:marBottom w:val="0"/>
          <w:divBdr>
            <w:top w:val="none" w:sz="0" w:space="0" w:color="auto"/>
            <w:left w:val="none" w:sz="0" w:space="0" w:color="auto"/>
            <w:bottom w:val="none" w:sz="0" w:space="0" w:color="auto"/>
            <w:right w:val="none" w:sz="0" w:space="0" w:color="auto"/>
          </w:divBdr>
        </w:div>
      </w:divsChild>
    </w:div>
    <w:div w:id="520318710">
      <w:bodyDiv w:val="1"/>
      <w:marLeft w:val="0"/>
      <w:marRight w:val="0"/>
      <w:marTop w:val="0"/>
      <w:marBottom w:val="0"/>
      <w:divBdr>
        <w:top w:val="none" w:sz="0" w:space="0" w:color="auto"/>
        <w:left w:val="none" w:sz="0" w:space="0" w:color="auto"/>
        <w:bottom w:val="none" w:sz="0" w:space="0" w:color="auto"/>
        <w:right w:val="none" w:sz="0" w:space="0" w:color="auto"/>
      </w:divBdr>
    </w:div>
    <w:div w:id="1152409290">
      <w:bodyDiv w:val="1"/>
      <w:marLeft w:val="0"/>
      <w:marRight w:val="0"/>
      <w:marTop w:val="0"/>
      <w:marBottom w:val="0"/>
      <w:divBdr>
        <w:top w:val="none" w:sz="0" w:space="0" w:color="auto"/>
        <w:left w:val="none" w:sz="0" w:space="0" w:color="auto"/>
        <w:bottom w:val="none" w:sz="0" w:space="0" w:color="auto"/>
        <w:right w:val="none" w:sz="0" w:space="0" w:color="auto"/>
      </w:divBdr>
      <w:divsChild>
        <w:div w:id="972755462">
          <w:marLeft w:val="0"/>
          <w:marRight w:val="0"/>
          <w:marTop w:val="0"/>
          <w:marBottom w:val="0"/>
          <w:divBdr>
            <w:top w:val="none" w:sz="0" w:space="0" w:color="auto"/>
            <w:left w:val="none" w:sz="0" w:space="0" w:color="auto"/>
            <w:bottom w:val="none" w:sz="0" w:space="0" w:color="auto"/>
            <w:right w:val="none" w:sz="0" w:space="0" w:color="auto"/>
          </w:divBdr>
        </w:div>
        <w:div w:id="1802454865">
          <w:marLeft w:val="0"/>
          <w:marRight w:val="0"/>
          <w:marTop w:val="0"/>
          <w:marBottom w:val="0"/>
          <w:divBdr>
            <w:top w:val="none" w:sz="0" w:space="0" w:color="auto"/>
            <w:left w:val="none" w:sz="0" w:space="0" w:color="auto"/>
            <w:bottom w:val="none" w:sz="0" w:space="0" w:color="auto"/>
            <w:right w:val="none" w:sz="0" w:space="0" w:color="auto"/>
          </w:divBdr>
        </w:div>
        <w:div w:id="421411376">
          <w:marLeft w:val="0"/>
          <w:marRight w:val="0"/>
          <w:marTop w:val="0"/>
          <w:marBottom w:val="0"/>
          <w:divBdr>
            <w:top w:val="none" w:sz="0" w:space="0" w:color="auto"/>
            <w:left w:val="none" w:sz="0" w:space="0" w:color="auto"/>
            <w:bottom w:val="none" w:sz="0" w:space="0" w:color="auto"/>
            <w:right w:val="none" w:sz="0" w:space="0" w:color="auto"/>
          </w:divBdr>
        </w:div>
        <w:div w:id="1567183845">
          <w:marLeft w:val="0"/>
          <w:marRight w:val="0"/>
          <w:marTop w:val="0"/>
          <w:marBottom w:val="0"/>
          <w:divBdr>
            <w:top w:val="none" w:sz="0" w:space="0" w:color="auto"/>
            <w:left w:val="none" w:sz="0" w:space="0" w:color="auto"/>
            <w:bottom w:val="none" w:sz="0" w:space="0" w:color="auto"/>
            <w:right w:val="none" w:sz="0" w:space="0" w:color="auto"/>
          </w:divBdr>
        </w:div>
        <w:div w:id="426777520">
          <w:marLeft w:val="0"/>
          <w:marRight w:val="0"/>
          <w:marTop w:val="0"/>
          <w:marBottom w:val="0"/>
          <w:divBdr>
            <w:top w:val="none" w:sz="0" w:space="0" w:color="auto"/>
            <w:left w:val="none" w:sz="0" w:space="0" w:color="auto"/>
            <w:bottom w:val="none" w:sz="0" w:space="0" w:color="auto"/>
            <w:right w:val="none" w:sz="0" w:space="0" w:color="auto"/>
          </w:divBdr>
        </w:div>
      </w:divsChild>
    </w:div>
    <w:div w:id="1346712789">
      <w:bodyDiv w:val="1"/>
      <w:marLeft w:val="0"/>
      <w:marRight w:val="0"/>
      <w:marTop w:val="0"/>
      <w:marBottom w:val="0"/>
      <w:divBdr>
        <w:top w:val="none" w:sz="0" w:space="0" w:color="auto"/>
        <w:left w:val="none" w:sz="0" w:space="0" w:color="auto"/>
        <w:bottom w:val="none" w:sz="0" w:space="0" w:color="auto"/>
        <w:right w:val="none" w:sz="0" w:space="0" w:color="auto"/>
      </w:divBdr>
    </w:div>
    <w:div w:id="207481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2-01-3304/dogovor-o-ukrepih-na-podrocju-plac-in-drugih-stroskov-dela-v-javnem-sektorju-za-leti-2022-in-2023" TargetMode="External"/><Relationship Id="rId13" Type="http://schemas.openxmlformats.org/officeDocument/2006/relationships/hyperlink" Target="https://www.uradni-list.si/glasilo-uradni-list-rs/vsebina/2022-01-3309/aneks-h-kolektivni-pogodbi-za-zdravnike-in-zobozdravnike-v-republiki-sloveniji" TargetMode="External"/><Relationship Id="rId18" Type="http://schemas.openxmlformats.org/officeDocument/2006/relationships/hyperlink" Target="https://www.uradni-list.si/glasilo-uradni-list-rs/vsebina/2022-01-3314/aneks-h-kolektivni-pogodbi-za-dejavnost-vzgoje-in-izobrazevanja-v-republiki-sloveniji" TargetMode="External"/><Relationship Id="rId26" Type="http://schemas.openxmlformats.org/officeDocument/2006/relationships/hyperlink" Target="http://www.uradni-list.si/1/objava.jsp?sop=2010-01-3273" TargetMode="External"/><Relationship Id="rId39" Type="http://schemas.openxmlformats.org/officeDocument/2006/relationships/hyperlink" Target="http://www.uradni-list.si/1/objava.jsp?sop=2018-01-4122" TargetMode="External"/><Relationship Id="rId3" Type="http://schemas.openxmlformats.org/officeDocument/2006/relationships/styles" Target="styles.xml"/><Relationship Id="rId21" Type="http://schemas.openxmlformats.org/officeDocument/2006/relationships/hyperlink" Target="https://www.uradni-list.si/glasilo-uradni-list-rs/vsebina/2022-01-3317/aneks-st--4-h-kolektivni-pogodbi-za-gozdarsko-dejavnost---tarifni-del" TargetMode="External"/><Relationship Id="rId34" Type="http://schemas.openxmlformats.org/officeDocument/2006/relationships/hyperlink" Target="http://www.uradni-list.si/1/objava.jsp?sop=2014-01-2074" TargetMode="External"/><Relationship Id="rId42" Type="http://schemas.openxmlformats.org/officeDocument/2006/relationships/hyperlink" Target="http://www.uradni-list.si/1/objava.jsp?sop=2021-01-3593"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radni-list.si/glasilo-uradni-list-rs/vsebina/2022-01-3308/aneks-st--4-h-kolektivni-pogodbi-javnega-gospodarskega-zavoda-brdo-protokolarne-storitve-republike-slovenije---tarifni-del" TargetMode="External"/><Relationship Id="rId17" Type="http://schemas.openxmlformats.org/officeDocument/2006/relationships/hyperlink" Target="https://www.uradni-list.si/glasilo-uradni-list-rs/vsebina/2022-01-3313/aneks-h-kolektivni-pogodbi-za-dejavnost-zdravstva-in-socialnega-varstva-slovenije" TargetMode="External"/><Relationship Id="rId25" Type="http://schemas.openxmlformats.org/officeDocument/2006/relationships/hyperlink" Target="http://www.uradni-list.si/1/objava.jsp?sop=2010-01-0520" TargetMode="External"/><Relationship Id="rId33" Type="http://schemas.openxmlformats.org/officeDocument/2006/relationships/hyperlink" Target="http://www.uradni-list.si/1/objava.jsp?sop=2014-01-0961" TargetMode="External"/><Relationship Id="rId38" Type="http://schemas.openxmlformats.org/officeDocument/2006/relationships/hyperlink" Target="http://www.uradni-list.si/1/objava.jsp?sop=2017-01-316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radni-list.si/glasilo-uradni-list-rs/vsebina/2022-01-3312/aneks-st--4-h-kolektivni-pogodbi-za-dejavnost-obvezne-socialne-varnosti---tarifni-del" TargetMode="External"/><Relationship Id="rId20" Type="http://schemas.openxmlformats.org/officeDocument/2006/relationships/hyperlink" Target="https://www.uradni-list.si/glasilo-uradni-list-rs/vsebina/2022-01-3316/aneks-st--4-h-kolektivni-pogodbi-za-dejavnost-okolja-in-prostora---tarifni-del" TargetMode="External"/><Relationship Id="rId29" Type="http://schemas.openxmlformats.org/officeDocument/2006/relationships/hyperlink" Target="http://www.uradni-list.si/1/objava.jsp?sop=2011-01-1743" TargetMode="External"/><Relationship Id="rId41" Type="http://schemas.openxmlformats.org/officeDocument/2006/relationships/hyperlink" Target="http://www.uradni-list.si/1/objava.jsp?sop=2021-01-35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2-01-3305/aneks-st--5-h-kolektivni-pogodbi-za-drzavno-upravo-uprave-pravosodnih-organov-in-uprave-samoupravnih-lokalnih-skupnosti---tarifni-del" TargetMode="External"/><Relationship Id="rId24" Type="http://schemas.openxmlformats.org/officeDocument/2006/relationships/hyperlink" Target="http://www.uradni-list.si/1/objava.jsp?sop=2009-01-4891" TargetMode="External"/><Relationship Id="rId32" Type="http://schemas.openxmlformats.org/officeDocument/2006/relationships/hyperlink" Target="http://www.uradni-list.si/1/objava.jsp?sop=2013-01-1753" TargetMode="External"/><Relationship Id="rId37" Type="http://schemas.openxmlformats.org/officeDocument/2006/relationships/hyperlink" Target="http://www.uradni-list.si/1/objava.jsp?sop=2017-01-1206" TargetMode="External"/><Relationship Id="rId40" Type="http://schemas.openxmlformats.org/officeDocument/2006/relationships/hyperlink" Target="http://www.uradni-list.si/1/objava.jsp?sop=2021-01-4154"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radni-list.si/glasilo-uradni-list-rs/vsebina/2022-01-3311/aneks-h-kolektivni-pogodbi-za-zaposlene-v-zdravstveni-negi" TargetMode="External"/><Relationship Id="rId23" Type="http://schemas.openxmlformats.org/officeDocument/2006/relationships/hyperlink" Target="https://www.uradni-list.si/glasilo-uradni-list-rs/vsebina/2022-01-3319/aneks-st--4-h-kolektivni-pogodbi-za-dejavnost-poklicnega-gasilstva---tarifni-del" TargetMode="External"/><Relationship Id="rId28" Type="http://schemas.openxmlformats.org/officeDocument/2006/relationships/hyperlink" Target="http://www.uradni-list.si/1/objava.jsp?sop=2010-01-5583" TargetMode="External"/><Relationship Id="rId36" Type="http://schemas.openxmlformats.org/officeDocument/2006/relationships/hyperlink" Target="http://www.uradni-list.si/1/objava.jsp?sop=2015-01-3254" TargetMode="External"/><Relationship Id="rId10" Type="http://schemas.openxmlformats.org/officeDocument/2006/relationships/hyperlink" Target="https://www.uradni-list.si/glasilo-uradni-list-rs/vsebina/2022-01-3307/aneks-st--13-h-kolektivni-pogodbi-za-javni-sektor-kpjs" TargetMode="External"/><Relationship Id="rId19" Type="http://schemas.openxmlformats.org/officeDocument/2006/relationships/hyperlink" Target="https://www.uradni-list.si/glasilo-uradni-list-rs/vsebina/2022-01-3315/aneks-h-kolektivni-pogodbi-za-raziskovalno-dejavnost" TargetMode="External"/><Relationship Id="rId31" Type="http://schemas.openxmlformats.org/officeDocument/2006/relationships/hyperlink" Target="http://www.uradni-list.si/1/objava.jsp?sop=2012-01-1700"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adni-list.si/glasilo-uradni-list-rs/vsebina/2022-01-3306/aneks-h-kolektivni-pogodbi-za-negospodarske-dejavnosti-v-republiki-sloveniji" TargetMode="External"/><Relationship Id="rId14" Type="http://schemas.openxmlformats.org/officeDocument/2006/relationships/hyperlink" Target="https://www.uradni-list.si/glasilo-uradni-list-rs/vsebina/2022-01-3310/aneks-k-posebnemu-tarifnemu-delu-kolektivne-pogodbe-za-zdravnike-in-zobozdravnike-v-republiki-sloveniji" TargetMode="External"/><Relationship Id="rId22" Type="http://schemas.openxmlformats.org/officeDocument/2006/relationships/hyperlink" Target="https://www.uradni-list.si/glasilo-uradni-list-rs/vsebina/2022-01-3318/aneks-st--4-h-kolektivni-pogodbi-za-kmetijsko-dejavnost---tarifni-del" TargetMode="External"/><Relationship Id="rId27" Type="http://schemas.openxmlformats.org/officeDocument/2006/relationships/hyperlink" Target="http://www.uradni-list.si/1/objava.jsp?sop=2010-01-4554" TargetMode="External"/><Relationship Id="rId30" Type="http://schemas.openxmlformats.org/officeDocument/2006/relationships/hyperlink" Target="http://www.uradni-list.si/1/objava.jsp?sop=2012-01-1121" TargetMode="External"/><Relationship Id="rId35" Type="http://schemas.openxmlformats.org/officeDocument/2006/relationships/hyperlink" Target="http://www.uradni-list.si/1/objava.jsp?sop=2014-01-3949" TargetMode="External"/><Relationship Id="rId43"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BF8490-F691-48A0-8D71-38ED74BB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3902</Words>
  <Characters>22247</Characters>
  <Application>Microsoft Office Word</Application>
  <DocSecurity>4</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Ukrepi na področju plač in drugih stroškov dela v javnem sektorju za leti 2022 in 2023 - pojasnilo (28. 10. 2022)</vt:lpstr>
      <vt:lpstr/>
    </vt:vector>
  </TitlesOfParts>
  <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Ukrepi na področju plač in drugih stroškov dela v javnem sektorju za leti 2022 in 2023 - pojasnilo (28. 10. 2022)</dc:title>
  <dc:subject/>
  <dc:creator>Katja Knez</dc:creator>
  <cp:keywords/>
  <dc:description/>
  <cp:lastModifiedBy>Računovodstvo SF</cp:lastModifiedBy>
  <cp:revision>2</cp:revision>
  <dcterms:created xsi:type="dcterms:W3CDTF">2022-10-30T21:30:00Z</dcterms:created>
  <dcterms:modified xsi:type="dcterms:W3CDTF">2022-10-30T21:30:00Z</dcterms:modified>
</cp:coreProperties>
</file>